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65C9DD" w14:textId="77777777" w:rsidR="000D70DB" w:rsidRDefault="00000000">
      <w:pPr>
        <w:spacing w:before="80" w:after="1600"/>
      </w:pPr>
      <w:r>
        <w:rPr>
          <w:noProof/>
        </w:rPr>
        <w:drawing>
          <wp:inline distT="0" distB="0" distL="0" distR="0" wp14:anchorId="431EACAB" wp14:editId="0AD30741">
            <wp:extent cx="2468880" cy="152065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png"/>
                    <pic:cNvPicPr/>
                  </pic:nvPicPr>
                  <pic:blipFill>
                    <a:blip r:embed="rId8"/>
                    <a:stretch>
                      <a:fillRect/>
                    </a:stretch>
                  </pic:blipFill>
                  <pic:spPr>
                    <a:xfrm>
                      <a:off x="0" y="0"/>
                      <a:ext cx="2468880" cy="1520655"/>
                    </a:xfrm>
                    <a:prstGeom prst="rect">
                      <a:avLst/>
                    </a:prstGeom>
                  </pic:spPr>
                </pic:pic>
              </a:graphicData>
            </a:graphic>
          </wp:inline>
        </w:drawing>
      </w:r>
    </w:p>
    <w:p w14:paraId="03FE0452" w14:textId="77777777" w:rsidR="000D70DB" w:rsidRDefault="00000000">
      <w:pPr>
        <w:pStyle w:val="Title"/>
        <w:spacing w:after="480"/>
      </w:pPr>
      <w:r>
        <w:rPr>
          <w:b/>
          <w:sz w:val="84"/>
        </w:rPr>
        <w:t>GENDER PAY</w:t>
      </w:r>
      <w:r>
        <w:rPr>
          <w:b/>
          <w:sz w:val="84"/>
        </w:rPr>
        <w:br/>
        <w:t>GAP REPORT</w:t>
      </w:r>
    </w:p>
    <w:p w14:paraId="42F879E2" w14:textId="77777777" w:rsidR="000D70DB" w:rsidRDefault="00000000">
      <w:pPr>
        <w:spacing w:after="1320"/>
      </w:pPr>
      <w:r>
        <w:rPr>
          <w:b/>
          <w:color w:val="045EA9"/>
          <w:sz w:val="56"/>
        </w:rPr>
        <w:t>2026</w:t>
      </w:r>
    </w:p>
    <w:p w14:paraId="5168A080" w14:textId="77777777" w:rsidR="000D70DB" w:rsidRDefault="00000000">
      <w:r>
        <w:rPr>
          <w:b/>
        </w:rPr>
        <w:t>CARRAIG LAUNDRY</w:t>
      </w:r>
    </w:p>
    <w:p w14:paraId="35E240B1" w14:textId="77777777" w:rsidR="000D70DB" w:rsidRDefault="00000000">
      <w:r>
        <w:t>Snapshot date 1 June 2026</w:t>
      </w:r>
      <w:r>
        <w:br/>
        <w:t>Reporting period 1 June 2025 to 1 June 2026</w:t>
      </w:r>
    </w:p>
    <w:p w14:paraId="43D8993F" w14:textId="77777777" w:rsidR="000D70DB" w:rsidRDefault="00000000">
      <w:r>
        <w:t>Gender pay gap disclosure</w:t>
      </w:r>
    </w:p>
    <w:p w14:paraId="677BE2A5" w14:textId="77777777" w:rsidR="000D70DB" w:rsidRDefault="00000000">
      <w:pPr>
        <w:spacing w:after="0" w:line="20" w:lineRule="exact"/>
      </w:pPr>
      <w:r>
        <w:rPr>
          <w:sz w:val="2"/>
        </w:rPr>
        <w:br w:type="page"/>
      </w:r>
    </w:p>
    <w:p w14:paraId="16B2CF34" w14:textId="77777777" w:rsidR="000D70DB" w:rsidRDefault="00000000">
      <w:pPr>
        <w:pStyle w:val="Heading1"/>
        <w:spacing w:before="480" w:after="560"/>
      </w:pPr>
      <w:r>
        <w:rPr>
          <w:sz w:val="56"/>
        </w:rPr>
        <w:lastRenderedPageBreak/>
        <w:t>TABLE OF CONTENTS</w:t>
      </w:r>
    </w:p>
    <w:p w14:paraId="64C3A9A6" w14:textId="77777777" w:rsidR="000D70DB" w:rsidRDefault="00000000">
      <w:pPr>
        <w:tabs>
          <w:tab w:val="right" w:leader="dot" w:pos="9936"/>
        </w:tabs>
        <w:spacing w:before="180" w:after="280"/>
      </w:pPr>
      <w:r>
        <w:t>01  Introduction</w:t>
      </w:r>
      <w:r>
        <w:tab/>
        <w:t>3</w:t>
      </w:r>
    </w:p>
    <w:p w14:paraId="41502224" w14:textId="77777777" w:rsidR="000D70DB" w:rsidRDefault="00000000">
      <w:pPr>
        <w:tabs>
          <w:tab w:val="right" w:leader="dot" w:pos="9936"/>
        </w:tabs>
        <w:spacing w:before="180" w:after="280"/>
      </w:pPr>
      <w:r>
        <w:t>02  Definitions</w:t>
      </w:r>
      <w:r>
        <w:tab/>
        <w:t>4</w:t>
      </w:r>
    </w:p>
    <w:p w14:paraId="3A3A9AF1" w14:textId="77777777" w:rsidR="000D70DB" w:rsidRDefault="00000000">
      <w:pPr>
        <w:tabs>
          <w:tab w:val="right" w:leader="dot" w:pos="9936"/>
        </w:tabs>
        <w:spacing w:before="180" w:after="280"/>
      </w:pPr>
      <w:r>
        <w:t>03  Source of Data</w:t>
      </w:r>
      <w:r>
        <w:tab/>
        <w:t>6</w:t>
      </w:r>
    </w:p>
    <w:p w14:paraId="7556DD8C" w14:textId="77777777" w:rsidR="000D70DB" w:rsidRDefault="00000000">
      <w:pPr>
        <w:tabs>
          <w:tab w:val="right" w:leader="dot" w:pos="9936"/>
        </w:tabs>
        <w:spacing w:before="180" w:after="280"/>
      </w:pPr>
      <w:r>
        <w:t>04  Adjustments and Approximations</w:t>
      </w:r>
      <w:r>
        <w:tab/>
        <w:t>6</w:t>
      </w:r>
    </w:p>
    <w:p w14:paraId="207E4770" w14:textId="77777777" w:rsidR="000D70DB" w:rsidRDefault="00000000">
      <w:pPr>
        <w:tabs>
          <w:tab w:val="right" w:leader="dot" w:pos="9936"/>
        </w:tabs>
        <w:spacing w:before="180" w:after="280"/>
      </w:pPr>
      <w:r>
        <w:t>05  Employment Profile</w:t>
      </w:r>
      <w:r>
        <w:tab/>
        <w:t>6</w:t>
      </w:r>
    </w:p>
    <w:p w14:paraId="278745AB" w14:textId="77777777" w:rsidR="000D70DB" w:rsidRDefault="00000000">
      <w:pPr>
        <w:tabs>
          <w:tab w:val="right" w:leader="dot" w:pos="9936"/>
        </w:tabs>
        <w:spacing w:before="180" w:after="280"/>
      </w:pPr>
      <w:r>
        <w:t>06  Gender Pay Gap Profile</w:t>
      </w:r>
      <w:r>
        <w:tab/>
        <w:t>7</w:t>
      </w:r>
    </w:p>
    <w:p w14:paraId="0B886A85" w14:textId="77777777" w:rsidR="000D70DB" w:rsidRDefault="00000000">
      <w:pPr>
        <w:tabs>
          <w:tab w:val="right" w:leader="dot" w:pos="9936"/>
        </w:tabs>
        <w:spacing w:before="180" w:after="280"/>
      </w:pPr>
      <w:r>
        <w:t>07  Gender Breakdown by Quartile</w:t>
      </w:r>
      <w:r>
        <w:tab/>
        <w:t>8</w:t>
      </w:r>
    </w:p>
    <w:p w14:paraId="0B6B290A" w14:textId="77777777" w:rsidR="000D70DB" w:rsidRDefault="00000000">
      <w:pPr>
        <w:tabs>
          <w:tab w:val="right" w:leader="dot" w:pos="9936"/>
        </w:tabs>
        <w:spacing w:before="180" w:after="280"/>
      </w:pPr>
      <w:r>
        <w:t>08  Analysis</w:t>
      </w:r>
      <w:r>
        <w:tab/>
        <w:t>8</w:t>
      </w:r>
    </w:p>
    <w:p w14:paraId="29122B5E" w14:textId="77777777" w:rsidR="000D70DB" w:rsidRDefault="00000000">
      <w:pPr>
        <w:tabs>
          <w:tab w:val="right" w:leader="dot" w:pos="9936"/>
        </w:tabs>
        <w:spacing w:before="180" w:after="280"/>
      </w:pPr>
      <w:r>
        <w:t>09  Conclusion</w:t>
      </w:r>
      <w:r>
        <w:tab/>
        <w:t>8</w:t>
      </w:r>
    </w:p>
    <w:p w14:paraId="39167A9C" w14:textId="77777777" w:rsidR="000D70DB" w:rsidRDefault="00000000">
      <w:r>
        <w:t>This report presents Carraig Laundry’s employment profile, gender pay gap results and approach to equality in the workplace.</w:t>
      </w:r>
    </w:p>
    <w:p w14:paraId="2E6A74C3" w14:textId="77777777" w:rsidR="000D70DB" w:rsidRDefault="00000000">
      <w:pPr>
        <w:spacing w:after="0" w:line="20" w:lineRule="exact"/>
      </w:pPr>
      <w:r>
        <w:rPr>
          <w:sz w:val="2"/>
        </w:rPr>
        <w:br w:type="page"/>
      </w:r>
    </w:p>
    <w:p w14:paraId="450E1842" w14:textId="77777777" w:rsidR="000D70DB" w:rsidRDefault="00000000">
      <w:pPr>
        <w:pStyle w:val="Heading1"/>
      </w:pPr>
      <w:r>
        <w:lastRenderedPageBreak/>
        <w:t>01  INTRODUCTION</w:t>
      </w:r>
    </w:p>
    <w:p w14:paraId="48C57764" w14:textId="77777777" w:rsidR="000D70DB" w:rsidRDefault="00000000">
      <w:r>
        <w:t>Carraig Laundry acknowledges the value of diversity and gender parity in the workplace. We are dedicated to promoting gender equity and building a working environment where everyone has equal opportunities to succeed. Our organisation is committed to fostering an inclusive, equal, and diverse workforce, and to closing the gender pay gap (GPG). This report provides a transparent overview of our gender pay gap and the actions we are taking to address it, highlighting our progress towards achieving greater equality.</w:t>
      </w:r>
    </w:p>
    <w:p w14:paraId="5A8201E1" w14:textId="77777777" w:rsidR="000D70DB" w:rsidRDefault="00000000">
      <w:r>
        <w:t>The provision of equal pay between men and women is a key policy priority. In response, the Government enacted the Gender Pay Gap Information Act in July 2021. From 2025 onwards, all organisations in Ireland with over 50 employees are required to report annually on their gender pay gap.</w:t>
      </w:r>
    </w:p>
    <w:p w14:paraId="488F0AAD" w14:textId="6546CE27" w:rsidR="000D70DB" w:rsidRDefault="00000000">
      <w:r>
        <w:t>This report represents our organisation’s first formal GPG disclosure, based on data for the 202</w:t>
      </w:r>
      <w:r w:rsidR="002C3D2E">
        <w:t>6</w:t>
      </w:r>
      <w:r>
        <w:t xml:space="preserve"> reporting period. It provides a baseline from which we will measure future progress.</w:t>
      </w:r>
    </w:p>
    <w:p w14:paraId="329964F1" w14:textId="77777777" w:rsidR="000D70DB" w:rsidRDefault="00000000">
      <w:r>
        <w:t>The Gender Pay Gap Information Act 2021 introduced the statutory framework for gender pay gap reporting in Ireland and requires organisations to disclose data on their hourly GPG.</w:t>
      </w:r>
    </w:p>
    <w:p w14:paraId="41C24013" w14:textId="77777777" w:rsidR="000D70DB" w:rsidRDefault="00000000">
      <w:r>
        <w:t xml:space="preserve">Organisations subject to the legislation must select a “snapshot” date in the month of June to base their reporting. Our chosen snapshot date is 1st June, 2026. A headcount of all employees on this date was carried out, and gender pay information was calculated based on the remuneration of those employees between 1st </w:t>
      </w:r>
      <w:proofErr w:type="gramStart"/>
      <w:r>
        <w:t>June,</w:t>
      </w:r>
      <w:proofErr w:type="gramEnd"/>
      <w:r>
        <w:t xml:space="preserve"> 2025 and 1st </w:t>
      </w:r>
      <w:proofErr w:type="gramStart"/>
      <w:r>
        <w:t>June,</w:t>
      </w:r>
      <w:proofErr w:type="gramEnd"/>
      <w:r>
        <w:t xml:space="preserve"> 2026.</w:t>
      </w:r>
    </w:p>
    <w:p w14:paraId="329E23C4" w14:textId="77777777" w:rsidR="002C3D2E" w:rsidRDefault="002C3D2E"/>
    <w:tbl>
      <w:tblPr>
        <w:tblW w:w="0" w:type="auto"/>
        <w:tblLayout w:type="fixed"/>
        <w:tblLook w:val="04A0" w:firstRow="1" w:lastRow="0" w:firstColumn="1" w:lastColumn="0" w:noHBand="0" w:noVBand="1"/>
      </w:tblPr>
      <w:tblGrid>
        <w:gridCol w:w="3360"/>
        <w:gridCol w:w="3360"/>
        <w:gridCol w:w="3360"/>
      </w:tblGrid>
      <w:tr w:rsidR="000D70DB" w14:paraId="23E53939" w14:textId="77777777">
        <w:tc>
          <w:tcPr>
            <w:tcW w:w="3360" w:type="dxa"/>
            <w:tcBorders>
              <w:top w:val="single" w:sz="5" w:space="0" w:color="D9D9D9"/>
              <w:left w:val="single" w:sz="5" w:space="0" w:color="D9D9D9"/>
              <w:bottom w:val="single" w:sz="5" w:space="0" w:color="D9D9D9"/>
              <w:right w:val="single" w:sz="5" w:space="0" w:color="D9D9D9"/>
            </w:tcBorders>
            <w:shd w:val="clear" w:color="auto" w:fill="EAF4FB"/>
            <w:tcMar>
              <w:top w:w="130" w:type="dxa"/>
              <w:left w:w="130" w:type="dxa"/>
              <w:bottom w:w="130" w:type="dxa"/>
              <w:right w:w="130" w:type="dxa"/>
            </w:tcMar>
            <w:vAlign w:val="center"/>
          </w:tcPr>
          <w:p w14:paraId="54210087" w14:textId="77777777" w:rsidR="000D70DB" w:rsidRDefault="00000000">
            <w:pPr>
              <w:spacing w:after="100"/>
              <w:jc w:val="center"/>
            </w:pPr>
            <w:r>
              <w:rPr>
                <w:b/>
                <w:sz w:val="50"/>
              </w:rPr>
              <w:t>67</w:t>
            </w:r>
          </w:p>
          <w:p w14:paraId="111E1CE7" w14:textId="77777777" w:rsidR="000D70DB" w:rsidRDefault="00000000">
            <w:pPr>
              <w:spacing w:after="0"/>
              <w:jc w:val="center"/>
            </w:pPr>
            <w:r>
              <w:rPr>
                <w:b/>
                <w:color w:val="045EA9"/>
                <w:sz w:val="20"/>
              </w:rPr>
              <w:t>TOTAL EMPLOYEES</w:t>
            </w:r>
          </w:p>
        </w:tc>
        <w:tc>
          <w:tcPr>
            <w:tcW w:w="3360" w:type="dxa"/>
            <w:tcBorders>
              <w:top w:val="single" w:sz="5" w:space="0" w:color="D9D9D9"/>
              <w:left w:val="single" w:sz="5" w:space="0" w:color="D9D9D9"/>
              <w:bottom w:val="single" w:sz="5" w:space="0" w:color="D9D9D9"/>
              <w:right w:val="single" w:sz="5" w:space="0" w:color="D9D9D9"/>
            </w:tcBorders>
            <w:shd w:val="clear" w:color="auto" w:fill="F3F4F6"/>
            <w:tcMar>
              <w:top w:w="130" w:type="dxa"/>
              <w:left w:w="130" w:type="dxa"/>
              <w:bottom w:w="130" w:type="dxa"/>
              <w:right w:w="130" w:type="dxa"/>
            </w:tcMar>
            <w:vAlign w:val="center"/>
          </w:tcPr>
          <w:p w14:paraId="4B4785EF" w14:textId="77777777" w:rsidR="000D70DB" w:rsidRDefault="00000000">
            <w:pPr>
              <w:spacing w:after="100"/>
              <w:jc w:val="center"/>
            </w:pPr>
            <w:r>
              <w:rPr>
                <w:b/>
                <w:sz w:val="50"/>
              </w:rPr>
              <w:t>33</w:t>
            </w:r>
          </w:p>
          <w:p w14:paraId="11EA0EA0" w14:textId="77777777" w:rsidR="000D70DB" w:rsidRDefault="00000000">
            <w:pPr>
              <w:spacing w:after="0"/>
              <w:jc w:val="center"/>
            </w:pPr>
            <w:r>
              <w:rPr>
                <w:b/>
                <w:color w:val="045EA9"/>
                <w:sz w:val="20"/>
              </w:rPr>
              <w:t>MALE EMPLOYEES</w:t>
            </w:r>
          </w:p>
        </w:tc>
        <w:tc>
          <w:tcPr>
            <w:tcW w:w="3360" w:type="dxa"/>
            <w:tcBorders>
              <w:top w:val="single" w:sz="5" w:space="0" w:color="D9D9D9"/>
              <w:left w:val="single" w:sz="5" w:space="0" w:color="D9D9D9"/>
              <w:bottom w:val="single" w:sz="5" w:space="0" w:color="D9D9D9"/>
              <w:right w:val="single" w:sz="5" w:space="0" w:color="D9D9D9"/>
            </w:tcBorders>
            <w:shd w:val="clear" w:color="auto" w:fill="EAF4FB"/>
            <w:tcMar>
              <w:top w:w="130" w:type="dxa"/>
              <w:left w:w="130" w:type="dxa"/>
              <w:bottom w:w="130" w:type="dxa"/>
              <w:right w:w="130" w:type="dxa"/>
            </w:tcMar>
            <w:vAlign w:val="center"/>
          </w:tcPr>
          <w:p w14:paraId="5B3FB9B5" w14:textId="77777777" w:rsidR="000D70DB" w:rsidRDefault="00000000">
            <w:pPr>
              <w:spacing w:after="100"/>
              <w:jc w:val="center"/>
            </w:pPr>
            <w:r>
              <w:rPr>
                <w:b/>
                <w:sz w:val="50"/>
              </w:rPr>
              <w:t>34</w:t>
            </w:r>
          </w:p>
          <w:p w14:paraId="36C44DB0" w14:textId="77777777" w:rsidR="000D70DB" w:rsidRDefault="00000000">
            <w:pPr>
              <w:spacing w:after="0"/>
              <w:jc w:val="center"/>
            </w:pPr>
            <w:r>
              <w:rPr>
                <w:b/>
                <w:color w:val="045EA9"/>
                <w:sz w:val="20"/>
              </w:rPr>
              <w:t>FEMALE EMPLOYEES</w:t>
            </w:r>
          </w:p>
        </w:tc>
      </w:tr>
    </w:tbl>
    <w:p w14:paraId="2BD102D8" w14:textId="77777777" w:rsidR="000D70DB" w:rsidRDefault="000D70DB">
      <w:pPr>
        <w:spacing w:after="0" w:line="160" w:lineRule="exact"/>
      </w:pPr>
    </w:p>
    <w:tbl>
      <w:tblPr>
        <w:tblW w:w="0" w:type="auto"/>
        <w:tblLayout w:type="fixed"/>
        <w:tblLook w:val="04A0" w:firstRow="1" w:lastRow="0" w:firstColumn="1" w:lastColumn="0" w:noHBand="0" w:noVBand="1"/>
      </w:tblPr>
      <w:tblGrid>
        <w:gridCol w:w="3360"/>
        <w:gridCol w:w="3360"/>
        <w:gridCol w:w="3360"/>
      </w:tblGrid>
      <w:tr w:rsidR="000D70DB" w14:paraId="536BCE30" w14:textId="77777777">
        <w:tc>
          <w:tcPr>
            <w:tcW w:w="3360" w:type="dxa"/>
            <w:tcBorders>
              <w:top w:val="single" w:sz="5" w:space="0" w:color="D9D9D9"/>
              <w:left w:val="single" w:sz="5" w:space="0" w:color="D9D9D9"/>
              <w:bottom w:val="single" w:sz="5" w:space="0" w:color="D9D9D9"/>
              <w:right w:val="single" w:sz="5" w:space="0" w:color="D9D9D9"/>
            </w:tcBorders>
            <w:shd w:val="clear" w:color="auto" w:fill="EAF4FB"/>
            <w:tcMar>
              <w:top w:w="130" w:type="dxa"/>
              <w:left w:w="130" w:type="dxa"/>
              <w:bottom w:w="130" w:type="dxa"/>
              <w:right w:w="130" w:type="dxa"/>
            </w:tcMar>
            <w:vAlign w:val="center"/>
          </w:tcPr>
          <w:p w14:paraId="0C66E8B8" w14:textId="77777777" w:rsidR="000D70DB" w:rsidRDefault="00000000">
            <w:pPr>
              <w:spacing w:after="100"/>
              <w:jc w:val="center"/>
            </w:pPr>
            <w:r>
              <w:rPr>
                <w:b/>
                <w:sz w:val="50"/>
              </w:rPr>
              <w:t>23.8%</w:t>
            </w:r>
          </w:p>
          <w:p w14:paraId="62FAA2EC" w14:textId="77777777" w:rsidR="000D70DB" w:rsidRDefault="00000000">
            <w:pPr>
              <w:spacing w:after="0"/>
              <w:jc w:val="center"/>
            </w:pPr>
            <w:r>
              <w:rPr>
                <w:b/>
                <w:color w:val="045EA9"/>
                <w:sz w:val="20"/>
              </w:rPr>
              <w:t>MEAN SALARY GAP</w:t>
            </w:r>
          </w:p>
        </w:tc>
        <w:tc>
          <w:tcPr>
            <w:tcW w:w="3360" w:type="dxa"/>
            <w:tcBorders>
              <w:top w:val="single" w:sz="5" w:space="0" w:color="D9D9D9"/>
              <w:left w:val="single" w:sz="5" w:space="0" w:color="D9D9D9"/>
              <w:bottom w:val="single" w:sz="5" w:space="0" w:color="D9D9D9"/>
              <w:right w:val="single" w:sz="5" w:space="0" w:color="D9D9D9"/>
            </w:tcBorders>
            <w:shd w:val="clear" w:color="auto" w:fill="F3F4F6"/>
            <w:tcMar>
              <w:top w:w="130" w:type="dxa"/>
              <w:left w:w="130" w:type="dxa"/>
              <w:bottom w:w="130" w:type="dxa"/>
              <w:right w:w="130" w:type="dxa"/>
            </w:tcMar>
            <w:vAlign w:val="center"/>
          </w:tcPr>
          <w:p w14:paraId="44492DE5" w14:textId="77777777" w:rsidR="000D70DB" w:rsidRDefault="00000000">
            <w:pPr>
              <w:spacing w:after="100"/>
              <w:jc w:val="center"/>
            </w:pPr>
            <w:r>
              <w:rPr>
                <w:b/>
                <w:sz w:val="50"/>
              </w:rPr>
              <w:t>11.4%</w:t>
            </w:r>
          </w:p>
          <w:p w14:paraId="46729530" w14:textId="77777777" w:rsidR="000D70DB" w:rsidRDefault="00000000">
            <w:pPr>
              <w:spacing w:after="0"/>
              <w:jc w:val="center"/>
            </w:pPr>
            <w:r>
              <w:rPr>
                <w:b/>
                <w:color w:val="045EA9"/>
                <w:sz w:val="20"/>
              </w:rPr>
              <w:t>MEAN HOURLY GAP</w:t>
            </w:r>
          </w:p>
        </w:tc>
        <w:tc>
          <w:tcPr>
            <w:tcW w:w="3360" w:type="dxa"/>
            <w:tcBorders>
              <w:top w:val="single" w:sz="5" w:space="0" w:color="D9D9D9"/>
              <w:left w:val="single" w:sz="5" w:space="0" w:color="D9D9D9"/>
              <w:bottom w:val="single" w:sz="5" w:space="0" w:color="D9D9D9"/>
              <w:right w:val="single" w:sz="5" w:space="0" w:color="D9D9D9"/>
            </w:tcBorders>
            <w:shd w:val="clear" w:color="auto" w:fill="EAF4FB"/>
            <w:tcMar>
              <w:top w:w="130" w:type="dxa"/>
              <w:left w:w="130" w:type="dxa"/>
              <w:bottom w:w="130" w:type="dxa"/>
              <w:right w:w="130" w:type="dxa"/>
            </w:tcMar>
            <w:vAlign w:val="center"/>
          </w:tcPr>
          <w:p w14:paraId="34D23AF7" w14:textId="77777777" w:rsidR="000D70DB" w:rsidRDefault="00000000">
            <w:pPr>
              <w:spacing w:after="100"/>
              <w:jc w:val="center"/>
            </w:pPr>
            <w:r>
              <w:rPr>
                <w:b/>
                <w:sz w:val="50"/>
              </w:rPr>
              <w:t>16.1%</w:t>
            </w:r>
          </w:p>
          <w:p w14:paraId="002CD81F" w14:textId="77777777" w:rsidR="000D70DB" w:rsidRDefault="00000000">
            <w:pPr>
              <w:spacing w:after="0"/>
              <w:jc w:val="center"/>
            </w:pPr>
            <w:r>
              <w:rPr>
                <w:b/>
                <w:color w:val="045EA9"/>
                <w:sz w:val="20"/>
              </w:rPr>
              <w:t>MEAN BONUS GAP</w:t>
            </w:r>
          </w:p>
        </w:tc>
      </w:tr>
    </w:tbl>
    <w:p w14:paraId="69D1F8BA" w14:textId="77777777" w:rsidR="000D70DB" w:rsidRDefault="000D70DB">
      <w:pPr>
        <w:spacing w:after="0" w:line="160" w:lineRule="exact"/>
      </w:pPr>
    </w:p>
    <w:p w14:paraId="373FF85F" w14:textId="77777777" w:rsidR="000D70DB" w:rsidRDefault="00000000">
      <w:r>
        <w:t>This report explores the contributing factors to the pay gap and outlines the measures we are taking to reduce it over time.</w:t>
      </w:r>
    </w:p>
    <w:p w14:paraId="2C283792" w14:textId="77777777" w:rsidR="000D70DB" w:rsidRDefault="00000000">
      <w:pPr>
        <w:spacing w:after="0" w:line="20" w:lineRule="exact"/>
      </w:pPr>
      <w:r>
        <w:rPr>
          <w:sz w:val="2"/>
        </w:rPr>
        <w:br w:type="page"/>
      </w:r>
    </w:p>
    <w:p w14:paraId="1DE89476" w14:textId="77777777" w:rsidR="000D70DB" w:rsidRDefault="00000000">
      <w:pPr>
        <w:pStyle w:val="Heading1"/>
      </w:pPr>
      <w:r>
        <w:lastRenderedPageBreak/>
        <w:t>02  DEFINITIONS</w:t>
      </w:r>
    </w:p>
    <w:p w14:paraId="7E944416" w14:textId="77777777" w:rsidR="000D70DB" w:rsidRDefault="00000000">
      <w:r>
        <w:rPr>
          <w:b/>
        </w:rPr>
        <w:t>Gender Pay Gap (GPG):</w:t>
      </w:r>
      <w:r>
        <w:t xml:space="preserve"> The gender pay gap is usually represented as the average difference in gross hourly earnings of men and women, expressed as a percentage of men's average gross hourly earnings. A positive gender pay gap indicates that, on average across the employed population, women are in a less favourable position than men. Where the gender pay gap is negative, this indicates the reverse - that, on average, men are in a less favourable position than women.</w:t>
      </w:r>
    </w:p>
    <w:p w14:paraId="1904FC4D" w14:textId="77777777" w:rsidR="000D70DB" w:rsidRDefault="00000000">
      <w:r>
        <w:rPr>
          <w:b/>
        </w:rPr>
        <w:t>Relevant date:</w:t>
      </w:r>
      <w:r>
        <w:t xml:space="preserve"> means the date, in the month of June each year that is selected by a relevant employer for the purposes of the report.</w:t>
      </w:r>
    </w:p>
    <w:p w14:paraId="6F4FD6A2" w14:textId="77777777" w:rsidR="000D70DB" w:rsidRDefault="00000000">
      <w:r>
        <w:rPr>
          <w:b/>
        </w:rPr>
        <w:t>Relevant employee:</w:t>
      </w:r>
      <w:r>
        <w:t xml:space="preserve"> means a person who is an employee for the purposes of the Employment Equality Act 1998 and is employed by the relevant employer on the snapshot date.</w:t>
      </w:r>
    </w:p>
    <w:p w14:paraId="64E9FBB0" w14:textId="77777777" w:rsidR="000D70DB" w:rsidRDefault="00000000">
      <w:r>
        <w:rPr>
          <w:b/>
        </w:rPr>
        <w:t>Relevant employer:</w:t>
      </w:r>
      <w:r>
        <w:t xml:space="preserve"> means an employer with over 150 employees on the snapshot date.</w:t>
      </w:r>
    </w:p>
    <w:p w14:paraId="7F696C12" w14:textId="77777777" w:rsidR="000D70DB" w:rsidRDefault="00000000">
      <w:r>
        <w:rPr>
          <w:b/>
        </w:rPr>
        <w:t>Relevant pay period:</w:t>
      </w:r>
      <w:r>
        <w:t xml:space="preserve"> means the period of 12 months ending on the snapshot date.</w:t>
      </w:r>
    </w:p>
    <w:p w14:paraId="0A63E647" w14:textId="77777777" w:rsidR="000D70DB" w:rsidRDefault="00000000">
      <w:r>
        <w:rPr>
          <w:b/>
        </w:rPr>
        <w:t>Shift premium pay:</w:t>
      </w:r>
      <w:r>
        <w:t xml:space="preserve"> means the difference between basic pay and any higher rate paid by the employer for work during different times of the day or night.</w:t>
      </w:r>
    </w:p>
    <w:p w14:paraId="3585EF76" w14:textId="77777777" w:rsidR="000D70DB" w:rsidRDefault="00000000">
      <w:r>
        <w:rPr>
          <w:b/>
        </w:rPr>
        <w:t>Working hours:</w:t>
      </w:r>
      <w:r>
        <w:t xml:space="preserve"> means the hours when a relevant employee is available, or required to be available, at or near his or her place of employment for the purposes of working, but does not include the hours when the relevant employee is asleep, notwithstanding that the relevant employee, by arrangement, sleeps at or near his or her place of employment and the relevant employer provides suitable sleeping facilities for that relevant employee.</w:t>
      </w:r>
    </w:p>
    <w:p w14:paraId="6E404826" w14:textId="77777777" w:rsidR="000D70DB" w:rsidRDefault="00000000">
      <w:r>
        <w:rPr>
          <w:b/>
        </w:rPr>
        <w:t>Employee Hourly Rate:</w:t>
      </w:r>
      <w:r>
        <w:t xml:space="preserve"> The hourly remuneration of an employee is calculated by dividing the employees’ total ordinary pay in respect of the reporting period by the hours worked for that period. Ordinary pay includes: the normal salary paid to the employee; allowances; overtime; shift premium pay; pay for sick leave; any salary top-ups for statutory leave such as maternity / paternity / parents leave.</w:t>
      </w:r>
    </w:p>
    <w:p w14:paraId="331CC22E" w14:textId="77777777" w:rsidR="000D70DB" w:rsidRDefault="00000000">
      <w:r>
        <w:rPr>
          <w:b/>
        </w:rPr>
        <w:t>Mean Hourly GPG:</w:t>
      </w:r>
      <w:r>
        <w:t xml:space="preserve"> The mean gender pay gap is the difference in the arithmetic average hourly pay for women compared to men, within our organisation.</w:t>
      </w:r>
    </w:p>
    <w:p w14:paraId="71523999" w14:textId="77777777" w:rsidR="000D70DB" w:rsidRDefault="00000000">
      <w:r>
        <w:rPr>
          <w:b/>
        </w:rPr>
        <w:t>Median Hourly GPG:</w:t>
      </w:r>
      <w:r>
        <w:t xml:space="preserve"> The median gender pay gap is the difference between women’s median hourly pay (the middle-paid woman) and men’s median hourly pay (the middle-paid man). The median hourly pay is calculated by ranking all employees from the highest paid to the lowest paid and taking the hourly pay of the person in the middle.</w:t>
      </w:r>
    </w:p>
    <w:p w14:paraId="7A788915" w14:textId="77777777" w:rsidR="000D70DB" w:rsidRDefault="00000000">
      <w:pPr>
        <w:spacing w:after="0" w:line="20" w:lineRule="exact"/>
      </w:pPr>
      <w:r>
        <w:rPr>
          <w:sz w:val="2"/>
        </w:rPr>
        <w:br w:type="page"/>
      </w:r>
    </w:p>
    <w:p w14:paraId="7D2FD70C" w14:textId="77777777" w:rsidR="000D70DB" w:rsidRDefault="00000000">
      <w:pPr>
        <w:pStyle w:val="Heading1"/>
      </w:pPr>
      <w:r>
        <w:lastRenderedPageBreak/>
        <w:t>DEFINITIONS CONTINUED</w:t>
      </w:r>
    </w:p>
    <w:p w14:paraId="2F59E145" w14:textId="77777777" w:rsidR="000D70DB" w:rsidRDefault="00000000">
      <w:r>
        <w:rPr>
          <w:b/>
        </w:rPr>
        <w:t>Quartiles:</w:t>
      </w:r>
      <w:r>
        <w:t xml:space="preserve"> Employees were organised into quartiles based on hourly remuneration of all male and female full-time employees: lower, lower middle, upper middle and upper. The proportion of male and female employees in each quartile was expressed as a percentage. There is no requirement to show this information for part-time employees or for temporary employees.</w:t>
      </w:r>
    </w:p>
    <w:p w14:paraId="2623DBED" w14:textId="77777777" w:rsidR="000D70DB" w:rsidRDefault="00000000">
      <w:r>
        <w:rPr>
          <w:b/>
        </w:rPr>
        <w:t>Snapshot Date:</w:t>
      </w:r>
      <w:r>
        <w:t xml:space="preserve"> Employers to whom the reporting obligations apply are required to calculate and publish the gender pay gap information in respect of relevant persons employed by them on the chosen snapshot date, with the calculations to be based on those employees' remuneration for the 12-month period that precedes the snapshot date. Employers are required to choose a snapshot date. The snapshot date must be in June but may be any date in June.</w:t>
      </w:r>
    </w:p>
    <w:p w14:paraId="48B8CDFE" w14:textId="77777777" w:rsidR="000D70DB" w:rsidRDefault="00000000">
      <w:r>
        <w:rPr>
          <w:b/>
        </w:rPr>
        <w:t>Equal pay:</w:t>
      </w:r>
      <w:r>
        <w:t xml:space="preserve"> The principle of equal pay does not mean that all workers must be paid equally; it means that any pay differences must be based on objective criteria, not related to gender.</w:t>
      </w:r>
    </w:p>
    <w:p w14:paraId="74C35A45" w14:textId="77777777" w:rsidR="000D70DB" w:rsidRDefault="00000000">
      <w:r>
        <w:rPr>
          <w:b/>
        </w:rPr>
        <w:t>Ordinary pay:</w:t>
      </w:r>
      <w:r>
        <w:t xml:space="preserve"> means the following types of remuneration, payable to a relevant employee, before any statutory deductions are made –</w:t>
      </w:r>
    </w:p>
    <w:p w14:paraId="056AF079" w14:textId="77777777" w:rsidR="000D70DB" w:rsidRDefault="00000000">
      <w:pPr>
        <w:spacing w:after="60"/>
        <w:ind w:left="173"/>
      </w:pPr>
      <w:r>
        <w:t>• Basic pay,</w:t>
      </w:r>
    </w:p>
    <w:p w14:paraId="7297F88B" w14:textId="77777777" w:rsidR="000D70DB" w:rsidRDefault="00000000">
      <w:pPr>
        <w:spacing w:after="60"/>
        <w:ind w:left="173"/>
      </w:pPr>
      <w:r>
        <w:t>• Allowances,</w:t>
      </w:r>
    </w:p>
    <w:p w14:paraId="4B26DB3D" w14:textId="77777777" w:rsidR="000D70DB" w:rsidRDefault="00000000">
      <w:pPr>
        <w:spacing w:after="60"/>
        <w:ind w:left="173"/>
      </w:pPr>
      <w:r>
        <w:t>• Pay for piece-work,</w:t>
      </w:r>
    </w:p>
    <w:p w14:paraId="2CB59EFC" w14:textId="77777777" w:rsidR="000D70DB" w:rsidRDefault="00000000">
      <w:pPr>
        <w:spacing w:after="60"/>
        <w:ind w:left="173"/>
      </w:pPr>
      <w:r>
        <w:t>• Shift premium pay, or</w:t>
      </w:r>
    </w:p>
    <w:p w14:paraId="4EA0EBA2" w14:textId="77777777" w:rsidR="000D70DB" w:rsidRDefault="00000000">
      <w:pPr>
        <w:spacing w:after="60"/>
        <w:ind w:left="173"/>
      </w:pPr>
      <w:r>
        <w:t>• Overtime pay,</w:t>
      </w:r>
    </w:p>
    <w:p w14:paraId="0E7C87A3" w14:textId="77777777" w:rsidR="000D70DB" w:rsidRDefault="00000000">
      <w:pPr>
        <w:spacing w:after="60"/>
        <w:ind w:left="173"/>
      </w:pPr>
      <w:r>
        <w:t>• Pay for sick leave,</w:t>
      </w:r>
    </w:p>
    <w:p w14:paraId="5A6C2D43" w14:textId="77777777" w:rsidR="000D70DB" w:rsidRDefault="00000000">
      <w:pPr>
        <w:spacing w:after="60"/>
        <w:ind w:left="173"/>
      </w:pPr>
      <w:r>
        <w:t>• Any salary top-ups for statutory leaves like maternity leave/paternity leave/parent’s leave/adoptive leave,</w:t>
      </w:r>
    </w:p>
    <w:p w14:paraId="03115443" w14:textId="77777777" w:rsidR="000D70DB" w:rsidRDefault="00000000">
      <w:pPr>
        <w:spacing w:after="60"/>
        <w:ind w:left="173"/>
      </w:pPr>
      <w:r>
        <w:t>• Pay for gardening leave.</w:t>
      </w:r>
    </w:p>
    <w:p w14:paraId="4ADA378D" w14:textId="77777777" w:rsidR="000D70DB" w:rsidRDefault="00000000">
      <w:r>
        <w:t>But does not include -</w:t>
      </w:r>
    </w:p>
    <w:p w14:paraId="3091F252" w14:textId="77777777" w:rsidR="000D70DB" w:rsidRDefault="00000000">
      <w:pPr>
        <w:spacing w:after="60"/>
        <w:ind w:left="173"/>
      </w:pPr>
      <w:r>
        <w:t>• Remuneration referable to redundancy or termination of employment, or</w:t>
      </w:r>
    </w:p>
    <w:p w14:paraId="6A09F2F4" w14:textId="77777777" w:rsidR="000D70DB" w:rsidRDefault="00000000">
      <w:pPr>
        <w:spacing w:after="60"/>
        <w:ind w:left="173"/>
      </w:pPr>
      <w:r>
        <w:t>• Remuneration other than money</w:t>
      </w:r>
    </w:p>
    <w:p w14:paraId="1ABA5934" w14:textId="77777777" w:rsidR="000D70DB" w:rsidRDefault="00000000">
      <w:r>
        <w:rPr>
          <w:b/>
        </w:rPr>
        <w:t>Part-time working:</w:t>
      </w:r>
      <w:r>
        <w:t xml:space="preserve"> A part-time employee in Ireland is defined in law as an employee whose normal hours of work are less than the normal hours of work of an employee who is a comparable employee. For this paper anyone whose full-time employment status (FTE) is less than one is assumed to be working part-time. Part-time does not include anyone who is on or has taken unpaid leave during the reporting period, for example parental leave.</w:t>
      </w:r>
    </w:p>
    <w:p w14:paraId="79FCDC34" w14:textId="77777777" w:rsidR="000D70DB" w:rsidRDefault="00000000">
      <w:pPr>
        <w:spacing w:after="0" w:line="20" w:lineRule="exact"/>
      </w:pPr>
      <w:r>
        <w:rPr>
          <w:sz w:val="2"/>
        </w:rPr>
        <w:br w:type="page"/>
      </w:r>
    </w:p>
    <w:p w14:paraId="7498BF8F" w14:textId="77777777" w:rsidR="000D70DB" w:rsidRDefault="00000000">
      <w:pPr>
        <w:pStyle w:val="Heading1"/>
      </w:pPr>
      <w:r>
        <w:lastRenderedPageBreak/>
        <w:t>03  SOURCE OF DATA</w:t>
      </w:r>
    </w:p>
    <w:p w14:paraId="22F9B6C7" w14:textId="77777777" w:rsidR="000D70DB" w:rsidRDefault="00000000">
      <w:r>
        <w:t>The data for this report was provided by the organisation’s payroll system.</w:t>
      </w:r>
    </w:p>
    <w:p w14:paraId="60E5C470" w14:textId="77777777" w:rsidR="000D70DB" w:rsidRDefault="00000000">
      <w:pPr>
        <w:pStyle w:val="Heading1"/>
      </w:pPr>
      <w:r>
        <w:t>04  ADJUSTMENTS AND APPROXIMATIONS</w:t>
      </w:r>
    </w:p>
    <w:p w14:paraId="69ADD5DA" w14:textId="77777777" w:rsidR="000D70DB" w:rsidRDefault="00000000">
      <w:r>
        <w:t>On 1st June, 2026 the total headcount of Carraig Laundry was 67 employees. The employee breakdown is the source of the report's metrics, which show the percentage of male and female employees on the snapshot date.</w:t>
      </w:r>
    </w:p>
    <w:p w14:paraId="4CF1EBE1" w14:textId="77777777" w:rsidR="000D70DB" w:rsidRDefault="00000000">
      <w:r>
        <w:t>Employees on unpaid leave, such as career breaks (i.e. employees who are on career breaks for over 12 months), who have received no pay during the reporting period are included in the headcount, but not included in the report.</w:t>
      </w:r>
    </w:p>
    <w:p w14:paraId="77F2EEDA" w14:textId="77777777" w:rsidR="000D70DB" w:rsidRDefault="00000000">
      <w:r>
        <w:t>Employees on sick leave are included in the report.</w:t>
      </w:r>
    </w:p>
    <w:p w14:paraId="3DC2126A" w14:textId="77777777" w:rsidR="000D70DB" w:rsidRDefault="00000000">
      <w:pPr>
        <w:pStyle w:val="Heading1"/>
      </w:pPr>
      <w:r>
        <w:t>05  EMPLOYMENT PROFILE</w:t>
      </w:r>
    </w:p>
    <w:p w14:paraId="594931AA" w14:textId="77777777" w:rsidR="000D70DB" w:rsidRDefault="00000000">
      <w:r>
        <w:t>On 1st June, 2026 there were 67 employees in Carraig Laundry.</w:t>
      </w:r>
    </w:p>
    <w:p w14:paraId="680339B2" w14:textId="77777777" w:rsidR="000D70DB" w:rsidRDefault="00000000">
      <w:pPr>
        <w:spacing w:before="80" w:after="200"/>
      </w:pPr>
      <w:r>
        <w:rPr>
          <w:noProof/>
        </w:rPr>
        <w:drawing>
          <wp:inline distT="0" distB="0" distL="0" distR="0" wp14:anchorId="5CC9FA37" wp14:editId="4B90F343">
            <wp:extent cx="6400800" cy="2369956"/>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mployment.png"/>
                    <pic:cNvPicPr/>
                  </pic:nvPicPr>
                  <pic:blipFill>
                    <a:blip r:embed="rId9"/>
                    <a:stretch>
                      <a:fillRect/>
                    </a:stretch>
                  </pic:blipFill>
                  <pic:spPr>
                    <a:xfrm>
                      <a:off x="0" y="0"/>
                      <a:ext cx="6400800" cy="2369956"/>
                    </a:xfrm>
                    <a:prstGeom prst="rect">
                      <a:avLst/>
                    </a:prstGeom>
                  </pic:spPr>
                </pic:pic>
              </a:graphicData>
            </a:graphic>
          </wp:inline>
        </w:drawing>
      </w:r>
    </w:p>
    <w:p w14:paraId="5EC953EE" w14:textId="77777777" w:rsidR="000D70DB" w:rsidRDefault="00000000">
      <w:r>
        <w:rPr>
          <w:sz w:val="21"/>
        </w:rPr>
        <w:t>Key: dark blue = male; light blue = female. Each bar represents 100% of the named employee group. The number beside each group is its total headcount. For example, 49.3% of all 67 employees are male (33) and 50.7% are female (34).</w:t>
      </w:r>
    </w:p>
    <w:p w14:paraId="6CA5AB5F" w14:textId="77777777" w:rsidR="000D70DB" w:rsidRDefault="00000000">
      <w:pPr>
        <w:pStyle w:val="Heading2"/>
      </w:pPr>
      <w:r>
        <w:t>Reporting categories</w:t>
      </w:r>
    </w:p>
    <w:p w14:paraId="2AAC5A84" w14:textId="77777777" w:rsidR="000D70DB" w:rsidRDefault="00000000">
      <w:r>
        <w:t>The Gender Pay Gap Information Act 2021 requires mean and median gender pay gap percentages across three categories: all employees, part-time employees and temporary employees.</w:t>
      </w:r>
    </w:p>
    <w:p w14:paraId="31194F4C" w14:textId="77777777" w:rsidR="000D70DB" w:rsidRDefault="00000000">
      <w:pPr>
        <w:spacing w:after="0" w:line="20" w:lineRule="exact"/>
      </w:pPr>
      <w:r>
        <w:rPr>
          <w:sz w:val="2"/>
        </w:rPr>
        <w:br w:type="page"/>
      </w:r>
    </w:p>
    <w:p w14:paraId="3303EC2E" w14:textId="77777777" w:rsidR="000D70DB" w:rsidRDefault="00000000">
      <w:pPr>
        <w:pStyle w:val="Heading1"/>
      </w:pPr>
      <w:r>
        <w:lastRenderedPageBreak/>
        <w:t>06  GENDER PAY GAP PROFILE</w:t>
      </w:r>
    </w:p>
    <w:p w14:paraId="388864D2" w14:textId="77777777" w:rsidR="000D70DB" w:rsidRDefault="00000000">
      <w:r>
        <w:t>The GPG is the difference in the average hourly wage of males and females across a workforce. It does not take into account any other factors (for example, years of service, grade or any period of statutory leave).</w:t>
      </w:r>
    </w:p>
    <w:tbl>
      <w:tblPr>
        <w:tblW w:w="0" w:type="auto"/>
        <w:tblLayout w:type="fixed"/>
        <w:tblLook w:val="04A0" w:firstRow="1" w:lastRow="0" w:firstColumn="1" w:lastColumn="0" w:noHBand="0" w:noVBand="1"/>
      </w:tblPr>
      <w:tblGrid>
        <w:gridCol w:w="5184"/>
        <w:gridCol w:w="2448"/>
        <w:gridCol w:w="2448"/>
      </w:tblGrid>
      <w:tr w:rsidR="000D70DB" w14:paraId="7EFB1DCD" w14:textId="77777777" w:rsidTr="002C3D2E">
        <w:tc>
          <w:tcPr>
            <w:tcW w:w="5184" w:type="dxa"/>
            <w:tcBorders>
              <w:top w:val="single" w:sz="5" w:space="0" w:color="D9D9D9"/>
              <w:left w:val="single" w:sz="5" w:space="0" w:color="D9D9D9"/>
              <w:bottom w:val="single" w:sz="5" w:space="0" w:color="D9D9D9"/>
              <w:right w:val="single" w:sz="5" w:space="0" w:color="D9D9D9"/>
            </w:tcBorders>
            <w:shd w:val="clear" w:color="auto" w:fill="1F497D" w:themeFill="text2"/>
            <w:tcMar>
              <w:top w:w="110" w:type="dxa"/>
              <w:left w:w="110" w:type="dxa"/>
              <w:bottom w:w="110" w:type="dxa"/>
              <w:right w:w="110" w:type="dxa"/>
            </w:tcMar>
            <w:vAlign w:val="center"/>
          </w:tcPr>
          <w:p w14:paraId="6390AA66" w14:textId="77777777" w:rsidR="000D70DB" w:rsidRDefault="00000000">
            <w:pPr>
              <w:spacing w:after="0" w:line="264" w:lineRule="auto"/>
              <w:jc w:val="center"/>
            </w:pPr>
            <w:r>
              <w:rPr>
                <w:b/>
                <w:color w:val="FFFFFF"/>
                <w:sz w:val="22"/>
              </w:rPr>
              <w:t>Measure and employment group</w:t>
            </w:r>
          </w:p>
        </w:tc>
        <w:tc>
          <w:tcPr>
            <w:tcW w:w="2448" w:type="dxa"/>
            <w:tcBorders>
              <w:top w:val="single" w:sz="5" w:space="0" w:color="D9D9D9"/>
              <w:left w:val="single" w:sz="5" w:space="0" w:color="D9D9D9"/>
              <w:bottom w:val="single" w:sz="5" w:space="0" w:color="D9D9D9"/>
              <w:right w:val="single" w:sz="5" w:space="0" w:color="D9D9D9"/>
            </w:tcBorders>
            <w:shd w:val="clear" w:color="auto" w:fill="1F497D" w:themeFill="text2"/>
            <w:tcMar>
              <w:top w:w="110" w:type="dxa"/>
              <w:left w:w="110" w:type="dxa"/>
              <w:bottom w:w="110" w:type="dxa"/>
              <w:right w:w="110" w:type="dxa"/>
            </w:tcMar>
            <w:vAlign w:val="center"/>
          </w:tcPr>
          <w:p w14:paraId="3FE5EA4A" w14:textId="77777777" w:rsidR="000D70DB" w:rsidRDefault="00000000">
            <w:pPr>
              <w:spacing w:after="0" w:line="264" w:lineRule="auto"/>
              <w:jc w:val="center"/>
            </w:pPr>
            <w:r>
              <w:rPr>
                <w:b/>
                <w:color w:val="FFFFFF"/>
                <w:sz w:val="22"/>
              </w:rPr>
              <w:t>Mean pay gap</w:t>
            </w:r>
          </w:p>
        </w:tc>
        <w:tc>
          <w:tcPr>
            <w:tcW w:w="2448" w:type="dxa"/>
            <w:tcBorders>
              <w:top w:val="single" w:sz="5" w:space="0" w:color="D9D9D9"/>
              <w:left w:val="single" w:sz="5" w:space="0" w:color="D9D9D9"/>
              <w:bottom w:val="single" w:sz="5" w:space="0" w:color="D9D9D9"/>
              <w:right w:val="single" w:sz="5" w:space="0" w:color="D9D9D9"/>
            </w:tcBorders>
            <w:shd w:val="clear" w:color="auto" w:fill="1F497D" w:themeFill="text2"/>
            <w:tcMar>
              <w:top w:w="110" w:type="dxa"/>
              <w:left w:w="110" w:type="dxa"/>
              <w:bottom w:w="110" w:type="dxa"/>
              <w:right w:w="110" w:type="dxa"/>
            </w:tcMar>
            <w:vAlign w:val="center"/>
          </w:tcPr>
          <w:p w14:paraId="7259ED8D" w14:textId="77777777" w:rsidR="000D70DB" w:rsidRDefault="00000000">
            <w:pPr>
              <w:spacing w:after="0" w:line="264" w:lineRule="auto"/>
              <w:jc w:val="center"/>
            </w:pPr>
            <w:r>
              <w:rPr>
                <w:b/>
                <w:color w:val="FFFFFF"/>
                <w:sz w:val="22"/>
              </w:rPr>
              <w:t>Median pay gap</w:t>
            </w:r>
          </w:p>
        </w:tc>
      </w:tr>
      <w:tr w:rsidR="000D70DB" w14:paraId="29A24ED4" w14:textId="77777777">
        <w:tc>
          <w:tcPr>
            <w:tcW w:w="5184" w:type="dxa"/>
            <w:tcBorders>
              <w:top w:val="single" w:sz="5" w:space="0" w:color="D9D9D9"/>
              <w:left w:val="single" w:sz="5" w:space="0" w:color="D9D9D9"/>
              <w:bottom w:val="single" w:sz="5" w:space="0" w:color="D9D9D9"/>
              <w:right w:val="single" w:sz="5" w:space="0" w:color="D9D9D9"/>
            </w:tcBorders>
            <w:shd w:val="clear" w:color="auto" w:fill="FFFFFF"/>
            <w:tcMar>
              <w:top w:w="110" w:type="dxa"/>
              <w:left w:w="110" w:type="dxa"/>
              <w:bottom w:w="110" w:type="dxa"/>
              <w:right w:w="110" w:type="dxa"/>
            </w:tcMar>
            <w:vAlign w:val="center"/>
          </w:tcPr>
          <w:p w14:paraId="02B32AC0" w14:textId="77777777" w:rsidR="000D70DB" w:rsidRDefault="00000000">
            <w:pPr>
              <w:spacing w:after="0" w:line="264" w:lineRule="auto"/>
            </w:pPr>
            <w:r>
              <w:rPr>
                <w:sz w:val="22"/>
              </w:rPr>
              <w:t>Salary — all employees</w:t>
            </w:r>
          </w:p>
        </w:tc>
        <w:tc>
          <w:tcPr>
            <w:tcW w:w="2448" w:type="dxa"/>
            <w:tcBorders>
              <w:top w:val="single" w:sz="5" w:space="0" w:color="D9D9D9"/>
              <w:left w:val="single" w:sz="5" w:space="0" w:color="D9D9D9"/>
              <w:bottom w:val="single" w:sz="5" w:space="0" w:color="D9D9D9"/>
              <w:right w:val="single" w:sz="5" w:space="0" w:color="D9D9D9"/>
            </w:tcBorders>
            <w:shd w:val="clear" w:color="auto" w:fill="FFFFFF"/>
            <w:tcMar>
              <w:top w:w="110" w:type="dxa"/>
              <w:left w:w="110" w:type="dxa"/>
              <w:bottom w:w="110" w:type="dxa"/>
              <w:right w:w="110" w:type="dxa"/>
            </w:tcMar>
            <w:vAlign w:val="center"/>
          </w:tcPr>
          <w:p w14:paraId="2E7BC32B" w14:textId="77777777" w:rsidR="000D70DB" w:rsidRDefault="00000000">
            <w:pPr>
              <w:spacing w:after="0" w:line="264" w:lineRule="auto"/>
              <w:jc w:val="center"/>
            </w:pPr>
            <w:r>
              <w:rPr>
                <w:b/>
                <w:sz w:val="22"/>
              </w:rPr>
              <w:t>23.8%</w:t>
            </w:r>
          </w:p>
        </w:tc>
        <w:tc>
          <w:tcPr>
            <w:tcW w:w="2448" w:type="dxa"/>
            <w:tcBorders>
              <w:top w:val="single" w:sz="5" w:space="0" w:color="D9D9D9"/>
              <w:left w:val="single" w:sz="5" w:space="0" w:color="D9D9D9"/>
              <w:bottom w:val="single" w:sz="5" w:space="0" w:color="D9D9D9"/>
              <w:right w:val="single" w:sz="5" w:space="0" w:color="D9D9D9"/>
            </w:tcBorders>
            <w:shd w:val="clear" w:color="auto" w:fill="FFFFFF"/>
            <w:tcMar>
              <w:top w:w="110" w:type="dxa"/>
              <w:left w:w="110" w:type="dxa"/>
              <w:bottom w:w="110" w:type="dxa"/>
              <w:right w:w="110" w:type="dxa"/>
            </w:tcMar>
            <w:vAlign w:val="center"/>
          </w:tcPr>
          <w:p w14:paraId="5CFB2409" w14:textId="77777777" w:rsidR="000D70DB" w:rsidRDefault="00000000">
            <w:pPr>
              <w:spacing w:after="0" w:line="264" w:lineRule="auto"/>
              <w:jc w:val="center"/>
            </w:pPr>
            <w:r>
              <w:rPr>
                <w:b/>
                <w:sz w:val="22"/>
              </w:rPr>
              <w:t>5.7%</w:t>
            </w:r>
          </w:p>
        </w:tc>
      </w:tr>
      <w:tr w:rsidR="000D70DB" w14:paraId="24A34791" w14:textId="77777777">
        <w:tc>
          <w:tcPr>
            <w:tcW w:w="5184" w:type="dxa"/>
            <w:tcBorders>
              <w:top w:val="single" w:sz="5" w:space="0" w:color="D9D9D9"/>
              <w:left w:val="single" w:sz="5" w:space="0" w:color="D9D9D9"/>
              <w:bottom w:val="single" w:sz="5" w:space="0" w:color="D9D9D9"/>
              <w:right w:val="single" w:sz="5" w:space="0" w:color="D9D9D9"/>
            </w:tcBorders>
            <w:shd w:val="clear" w:color="auto" w:fill="FFFFFF"/>
            <w:tcMar>
              <w:top w:w="110" w:type="dxa"/>
              <w:left w:w="110" w:type="dxa"/>
              <w:bottom w:w="110" w:type="dxa"/>
              <w:right w:w="110" w:type="dxa"/>
            </w:tcMar>
            <w:vAlign w:val="center"/>
          </w:tcPr>
          <w:p w14:paraId="52B6E186" w14:textId="77777777" w:rsidR="000D70DB" w:rsidRDefault="00000000">
            <w:pPr>
              <w:spacing w:after="0" w:line="264" w:lineRule="auto"/>
            </w:pPr>
            <w:r>
              <w:rPr>
                <w:sz w:val="22"/>
              </w:rPr>
              <w:t>Salary — full-time employees</w:t>
            </w:r>
          </w:p>
        </w:tc>
        <w:tc>
          <w:tcPr>
            <w:tcW w:w="2448" w:type="dxa"/>
            <w:tcBorders>
              <w:top w:val="single" w:sz="5" w:space="0" w:color="D9D9D9"/>
              <w:left w:val="single" w:sz="5" w:space="0" w:color="D9D9D9"/>
              <w:bottom w:val="single" w:sz="5" w:space="0" w:color="D9D9D9"/>
              <w:right w:val="single" w:sz="5" w:space="0" w:color="D9D9D9"/>
            </w:tcBorders>
            <w:shd w:val="clear" w:color="auto" w:fill="FFFFFF"/>
            <w:tcMar>
              <w:top w:w="110" w:type="dxa"/>
              <w:left w:w="110" w:type="dxa"/>
              <w:bottom w:w="110" w:type="dxa"/>
              <w:right w:w="110" w:type="dxa"/>
            </w:tcMar>
            <w:vAlign w:val="center"/>
          </w:tcPr>
          <w:p w14:paraId="4CF6A899" w14:textId="77777777" w:rsidR="000D70DB" w:rsidRDefault="00000000">
            <w:pPr>
              <w:spacing w:after="0" w:line="264" w:lineRule="auto"/>
              <w:jc w:val="center"/>
            </w:pPr>
            <w:r>
              <w:rPr>
                <w:b/>
                <w:sz w:val="22"/>
              </w:rPr>
              <w:t>17.9%</w:t>
            </w:r>
          </w:p>
        </w:tc>
        <w:tc>
          <w:tcPr>
            <w:tcW w:w="2448" w:type="dxa"/>
            <w:tcBorders>
              <w:top w:val="single" w:sz="5" w:space="0" w:color="D9D9D9"/>
              <w:left w:val="single" w:sz="5" w:space="0" w:color="D9D9D9"/>
              <w:bottom w:val="single" w:sz="5" w:space="0" w:color="D9D9D9"/>
              <w:right w:val="single" w:sz="5" w:space="0" w:color="D9D9D9"/>
            </w:tcBorders>
            <w:shd w:val="clear" w:color="auto" w:fill="FFFFFF"/>
            <w:tcMar>
              <w:top w:w="110" w:type="dxa"/>
              <w:left w:w="110" w:type="dxa"/>
              <w:bottom w:w="110" w:type="dxa"/>
              <w:right w:w="110" w:type="dxa"/>
            </w:tcMar>
            <w:vAlign w:val="center"/>
          </w:tcPr>
          <w:p w14:paraId="2DAEC409" w14:textId="77777777" w:rsidR="000D70DB" w:rsidRDefault="00000000">
            <w:pPr>
              <w:spacing w:after="0" w:line="264" w:lineRule="auto"/>
              <w:jc w:val="center"/>
            </w:pPr>
            <w:r>
              <w:rPr>
                <w:b/>
                <w:sz w:val="22"/>
              </w:rPr>
              <w:t>7.7%</w:t>
            </w:r>
          </w:p>
        </w:tc>
      </w:tr>
      <w:tr w:rsidR="000D70DB" w14:paraId="73359235" w14:textId="77777777">
        <w:tc>
          <w:tcPr>
            <w:tcW w:w="5184" w:type="dxa"/>
            <w:tcBorders>
              <w:top w:val="single" w:sz="5" w:space="0" w:color="D9D9D9"/>
              <w:left w:val="single" w:sz="5" w:space="0" w:color="D9D9D9"/>
              <w:bottom w:val="single" w:sz="5" w:space="0" w:color="D9D9D9"/>
              <w:right w:val="single" w:sz="5" w:space="0" w:color="D9D9D9"/>
            </w:tcBorders>
            <w:shd w:val="clear" w:color="auto" w:fill="FFFFFF"/>
            <w:tcMar>
              <w:top w:w="110" w:type="dxa"/>
              <w:left w:w="110" w:type="dxa"/>
              <w:bottom w:w="110" w:type="dxa"/>
              <w:right w:w="110" w:type="dxa"/>
            </w:tcMar>
            <w:vAlign w:val="center"/>
          </w:tcPr>
          <w:p w14:paraId="26FD454B" w14:textId="77777777" w:rsidR="000D70DB" w:rsidRDefault="00000000">
            <w:pPr>
              <w:spacing w:after="0" w:line="264" w:lineRule="auto"/>
            </w:pPr>
            <w:r>
              <w:rPr>
                <w:sz w:val="22"/>
              </w:rPr>
              <w:t>Salary — part-time employees</w:t>
            </w:r>
          </w:p>
        </w:tc>
        <w:tc>
          <w:tcPr>
            <w:tcW w:w="2448" w:type="dxa"/>
            <w:tcBorders>
              <w:top w:val="single" w:sz="5" w:space="0" w:color="D9D9D9"/>
              <w:left w:val="single" w:sz="5" w:space="0" w:color="D9D9D9"/>
              <w:bottom w:val="single" w:sz="5" w:space="0" w:color="D9D9D9"/>
              <w:right w:val="single" w:sz="5" w:space="0" w:color="D9D9D9"/>
            </w:tcBorders>
            <w:shd w:val="clear" w:color="auto" w:fill="FFFFFF"/>
            <w:tcMar>
              <w:top w:w="110" w:type="dxa"/>
              <w:left w:w="110" w:type="dxa"/>
              <w:bottom w:w="110" w:type="dxa"/>
              <w:right w:w="110" w:type="dxa"/>
            </w:tcMar>
            <w:vAlign w:val="center"/>
          </w:tcPr>
          <w:p w14:paraId="5D5809E3" w14:textId="77777777" w:rsidR="000D70DB" w:rsidRDefault="00000000">
            <w:pPr>
              <w:spacing w:after="0" w:line="264" w:lineRule="auto"/>
              <w:jc w:val="center"/>
            </w:pPr>
            <w:r>
              <w:rPr>
                <w:b/>
                <w:sz w:val="22"/>
              </w:rPr>
              <w:t>−10.5%</w:t>
            </w:r>
          </w:p>
        </w:tc>
        <w:tc>
          <w:tcPr>
            <w:tcW w:w="2448" w:type="dxa"/>
            <w:tcBorders>
              <w:top w:val="single" w:sz="5" w:space="0" w:color="D9D9D9"/>
              <w:left w:val="single" w:sz="5" w:space="0" w:color="D9D9D9"/>
              <w:bottom w:val="single" w:sz="5" w:space="0" w:color="D9D9D9"/>
              <w:right w:val="single" w:sz="5" w:space="0" w:color="D9D9D9"/>
            </w:tcBorders>
            <w:shd w:val="clear" w:color="auto" w:fill="FFFFFF"/>
            <w:tcMar>
              <w:top w:w="110" w:type="dxa"/>
              <w:left w:w="110" w:type="dxa"/>
              <w:bottom w:w="110" w:type="dxa"/>
              <w:right w:w="110" w:type="dxa"/>
            </w:tcMar>
            <w:vAlign w:val="center"/>
          </w:tcPr>
          <w:p w14:paraId="158039C9" w14:textId="77777777" w:rsidR="000D70DB" w:rsidRDefault="00000000">
            <w:pPr>
              <w:spacing w:after="0" w:line="264" w:lineRule="auto"/>
              <w:jc w:val="center"/>
            </w:pPr>
            <w:r>
              <w:rPr>
                <w:b/>
                <w:sz w:val="22"/>
              </w:rPr>
              <w:t>−5.3%</w:t>
            </w:r>
          </w:p>
        </w:tc>
      </w:tr>
      <w:tr w:rsidR="000D70DB" w14:paraId="720ABE09" w14:textId="77777777">
        <w:tc>
          <w:tcPr>
            <w:tcW w:w="5184" w:type="dxa"/>
            <w:tcBorders>
              <w:top w:val="single" w:sz="5" w:space="0" w:color="D9D9D9"/>
              <w:left w:val="single" w:sz="5" w:space="0" w:color="D9D9D9"/>
              <w:bottom w:val="single" w:sz="5" w:space="0" w:color="D9D9D9"/>
              <w:right w:val="single" w:sz="5" w:space="0" w:color="D9D9D9"/>
            </w:tcBorders>
            <w:shd w:val="clear" w:color="auto" w:fill="FFFFFF"/>
            <w:tcMar>
              <w:top w:w="110" w:type="dxa"/>
              <w:left w:w="110" w:type="dxa"/>
              <w:bottom w:w="110" w:type="dxa"/>
              <w:right w:w="110" w:type="dxa"/>
            </w:tcMar>
            <w:vAlign w:val="center"/>
          </w:tcPr>
          <w:p w14:paraId="6936F250" w14:textId="77777777" w:rsidR="000D70DB" w:rsidRDefault="00000000">
            <w:pPr>
              <w:spacing w:after="0" w:line="264" w:lineRule="auto"/>
            </w:pPr>
            <w:r>
              <w:rPr>
                <w:sz w:val="22"/>
              </w:rPr>
              <w:t>Hourly remuneration — all employees</w:t>
            </w:r>
          </w:p>
        </w:tc>
        <w:tc>
          <w:tcPr>
            <w:tcW w:w="2448" w:type="dxa"/>
            <w:tcBorders>
              <w:top w:val="single" w:sz="5" w:space="0" w:color="D9D9D9"/>
              <w:left w:val="single" w:sz="5" w:space="0" w:color="D9D9D9"/>
              <w:bottom w:val="single" w:sz="5" w:space="0" w:color="D9D9D9"/>
              <w:right w:val="single" w:sz="5" w:space="0" w:color="D9D9D9"/>
            </w:tcBorders>
            <w:shd w:val="clear" w:color="auto" w:fill="FFFFFF"/>
            <w:tcMar>
              <w:top w:w="110" w:type="dxa"/>
              <w:left w:w="110" w:type="dxa"/>
              <w:bottom w:w="110" w:type="dxa"/>
              <w:right w:w="110" w:type="dxa"/>
            </w:tcMar>
            <w:vAlign w:val="center"/>
          </w:tcPr>
          <w:p w14:paraId="7BFAD906" w14:textId="77777777" w:rsidR="000D70DB" w:rsidRDefault="00000000">
            <w:pPr>
              <w:spacing w:after="0" w:line="264" w:lineRule="auto"/>
              <w:jc w:val="center"/>
            </w:pPr>
            <w:r>
              <w:rPr>
                <w:b/>
                <w:sz w:val="22"/>
              </w:rPr>
              <w:t>11.4%</w:t>
            </w:r>
          </w:p>
        </w:tc>
        <w:tc>
          <w:tcPr>
            <w:tcW w:w="2448" w:type="dxa"/>
            <w:tcBorders>
              <w:top w:val="single" w:sz="5" w:space="0" w:color="D9D9D9"/>
              <w:left w:val="single" w:sz="5" w:space="0" w:color="D9D9D9"/>
              <w:bottom w:val="single" w:sz="5" w:space="0" w:color="D9D9D9"/>
              <w:right w:val="single" w:sz="5" w:space="0" w:color="D9D9D9"/>
            </w:tcBorders>
            <w:shd w:val="clear" w:color="auto" w:fill="FFFFFF"/>
            <w:tcMar>
              <w:top w:w="110" w:type="dxa"/>
              <w:left w:w="110" w:type="dxa"/>
              <w:bottom w:w="110" w:type="dxa"/>
              <w:right w:w="110" w:type="dxa"/>
            </w:tcMar>
            <w:vAlign w:val="center"/>
          </w:tcPr>
          <w:p w14:paraId="6164C5F2" w14:textId="77777777" w:rsidR="000D70DB" w:rsidRDefault="00000000">
            <w:pPr>
              <w:spacing w:after="0" w:line="264" w:lineRule="auto"/>
              <w:jc w:val="center"/>
            </w:pPr>
            <w:r>
              <w:rPr>
                <w:b/>
                <w:sz w:val="22"/>
              </w:rPr>
              <w:t>7.1%</w:t>
            </w:r>
          </w:p>
        </w:tc>
      </w:tr>
      <w:tr w:rsidR="000D70DB" w14:paraId="7CB51451" w14:textId="77777777">
        <w:tc>
          <w:tcPr>
            <w:tcW w:w="5184" w:type="dxa"/>
            <w:tcBorders>
              <w:top w:val="single" w:sz="5" w:space="0" w:color="D9D9D9"/>
              <w:left w:val="single" w:sz="5" w:space="0" w:color="D9D9D9"/>
              <w:bottom w:val="single" w:sz="5" w:space="0" w:color="D9D9D9"/>
              <w:right w:val="single" w:sz="5" w:space="0" w:color="D9D9D9"/>
            </w:tcBorders>
            <w:shd w:val="clear" w:color="auto" w:fill="FFFFFF"/>
            <w:tcMar>
              <w:top w:w="110" w:type="dxa"/>
              <w:left w:w="110" w:type="dxa"/>
              <w:bottom w:w="110" w:type="dxa"/>
              <w:right w:w="110" w:type="dxa"/>
            </w:tcMar>
            <w:vAlign w:val="center"/>
          </w:tcPr>
          <w:p w14:paraId="21295968" w14:textId="77777777" w:rsidR="000D70DB" w:rsidRDefault="00000000">
            <w:pPr>
              <w:spacing w:after="0" w:line="264" w:lineRule="auto"/>
            </w:pPr>
            <w:r>
              <w:rPr>
                <w:sz w:val="22"/>
              </w:rPr>
              <w:t>Hourly remuneration — full-time employees</w:t>
            </w:r>
          </w:p>
        </w:tc>
        <w:tc>
          <w:tcPr>
            <w:tcW w:w="2448" w:type="dxa"/>
            <w:tcBorders>
              <w:top w:val="single" w:sz="5" w:space="0" w:color="D9D9D9"/>
              <w:left w:val="single" w:sz="5" w:space="0" w:color="D9D9D9"/>
              <w:bottom w:val="single" w:sz="5" w:space="0" w:color="D9D9D9"/>
              <w:right w:val="single" w:sz="5" w:space="0" w:color="D9D9D9"/>
            </w:tcBorders>
            <w:shd w:val="clear" w:color="auto" w:fill="FFFFFF"/>
            <w:tcMar>
              <w:top w:w="110" w:type="dxa"/>
              <w:left w:w="110" w:type="dxa"/>
              <w:bottom w:w="110" w:type="dxa"/>
              <w:right w:w="110" w:type="dxa"/>
            </w:tcMar>
            <w:vAlign w:val="center"/>
          </w:tcPr>
          <w:p w14:paraId="4A57A141" w14:textId="77777777" w:rsidR="000D70DB" w:rsidRDefault="00000000">
            <w:pPr>
              <w:spacing w:after="0" w:line="264" w:lineRule="auto"/>
              <w:jc w:val="center"/>
            </w:pPr>
            <w:r>
              <w:rPr>
                <w:b/>
                <w:sz w:val="22"/>
              </w:rPr>
              <w:t>10.7%</w:t>
            </w:r>
          </w:p>
        </w:tc>
        <w:tc>
          <w:tcPr>
            <w:tcW w:w="2448" w:type="dxa"/>
            <w:tcBorders>
              <w:top w:val="single" w:sz="5" w:space="0" w:color="D9D9D9"/>
              <w:left w:val="single" w:sz="5" w:space="0" w:color="D9D9D9"/>
              <w:bottom w:val="single" w:sz="5" w:space="0" w:color="D9D9D9"/>
              <w:right w:val="single" w:sz="5" w:space="0" w:color="D9D9D9"/>
            </w:tcBorders>
            <w:shd w:val="clear" w:color="auto" w:fill="FFFFFF"/>
            <w:tcMar>
              <w:top w:w="110" w:type="dxa"/>
              <w:left w:w="110" w:type="dxa"/>
              <w:bottom w:w="110" w:type="dxa"/>
              <w:right w:w="110" w:type="dxa"/>
            </w:tcMar>
            <w:vAlign w:val="center"/>
          </w:tcPr>
          <w:p w14:paraId="1ED2167A" w14:textId="77777777" w:rsidR="000D70DB" w:rsidRDefault="00000000">
            <w:pPr>
              <w:spacing w:after="0" w:line="264" w:lineRule="auto"/>
              <w:jc w:val="center"/>
            </w:pPr>
            <w:r>
              <w:rPr>
                <w:b/>
                <w:sz w:val="22"/>
              </w:rPr>
              <w:t>8.8%</w:t>
            </w:r>
          </w:p>
        </w:tc>
      </w:tr>
      <w:tr w:rsidR="000D70DB" w14:paraId="2A7F22DF" w14:textId="77777777">
        <w:tc>
          <w:tcPr>
            <w:tcW w:w="5184" w:type="dxa"/>
            <w:tcBorders>
              <w:top w:val="single" w:sz="5" w:space="0" w:color="D9D9D9"/>
              <w:left w:val="single" w:sz="5" w:space="0" w:color="D9D9D9"/>
              <w:bottom w:val="single" w:sz="5" w:space="0" w:color="D9D9D9"/>
              <w:right w:val="single" w:sz="5" w:space="0" w:color="D9D9D9"/>
            </w:tcBorders>
            <w:shd w:val="clear" w:color="auto" w:fill="FFFFFF"/>
            <w:tcMar>
              <w:top w:w="110" w:type="dxa"/>
              <w:left w:w="110" w:type="dxa"/>
              <w:bottom w:w="110" w:type="dxa"/>
              <w:right w:w="110" w:type="dxa"/>
            </w:tcMar>
            <w:vAlign w:val="center"/>
          </w:tcPr>
          <w:p w14:paraId="49D96B00" w14:textId="77777777" w:rsidR="000D70DB" w:rsidRDefault="00000000">
            <w:pPr>
              <w:spacing w:after="0" w:line="264" w:lineRule="auto"/>
            </w:pPr>
            <w:r>
              <w:rPr>
                <w:sz w:val="22"/>
              </w:rPr>
              <w:t>Hourly remuneration — part-time employees</w:t>
            </w:r>
          </w:p>
        </w:tc>
        <w:tc>
          <w:tcPr>
            <w:tcW w:w="2448" w:type="dxa"/>
            <w:tcBorders>
              <w:top w:val="single" w:sz="5" w:space="0" w:color="D9D9D9"/>
              <w:left w:val="single" w:sz="5" w:space="0" w:color="D9D9D9"/>
              <w:bottom w:val="single" w:sz="5" w:space="0" w:color="D9D9D9"/>
              <w:right w:val="single" w:sz="5" w:space="0" w:color="D9D9D9"/>
            </w:tcBorders>
            <w:shd w:val="clear" w:color="auto" w:fill="FFFFFF"/>
            <w:tcMar>
              <w:top w:w="110" w:type="dxa"/>
              <w:left w:w="110" w:type="dxa"/>
              <w:bottom w:w="110" w:type="dxa"/>
              <w:right w:w="110" w:type="dxa"/>
            </w:tcMar>
            <w:vAlign w:val="center"/>
          </w:tcPr>
          <w:p w14:paraId="34EAB757" w14:textId="77777777" w:rsidR="000D70DB" w:rsidRDefault="00000000">
            <w:pPr>
              <w:spacing w:after="0" w:line="264" w:lineRule="auto"/>
              <w:jc w:val="center"/>
            </w:pPr>
            <w:r>
              <w:rPr>
                <w:b/>
                <w:sz w:val="22"/>
              </w:rPr>
              <w:t>−9.7%</w:t>
            </w:r>
          </w:p>
        </w:tc>
        <w:tc>
          <w:tcPr>
            <w:tcW w:w="2448" w:type="dxa"/>
            <w:tcBorders>
              <w:top w:val="single" w:sz="5" w:space="0" w:color="D9D9D9"/>
              <w:left w:val="single" w:sz="5" w:space="0" w:color="D9D9D9"/>
              <w:bottom w:val="single" w:sz="5" w:space="0" w:color="D9D9D9"/>
              <w:right w:val="single" w:sz="5" w:space="0" w:color="D9D9D9"/>
            </w:tcBorders>
            <w:shd w:val="clear" w:color="auto" w:fill="FFFFFF"/>
            <w:tcMar>
              <w:top w:w="110" w:type="dxa"/>
              <w:left w:w="110" w:type="dxa"/>
              <w:bottom w:w="110" w:type="dxa"/>
              <w:right w:w="110" w:type="dxa"/>
            </w:tcMar>
            <w:vAlign w:val="center"/>
          </w:tcPr>
          <w:p w14:paraId="2B88645E" w14:textId="77777777" w:rsidR="000D70DB" w:rsidRDefault="00000000">
            <w:pPr>
              <w:spacing w:after="0" w:line="264" w:lineRule="auto"/>
              <w:jc w:val="center"/>
            </w:pPr>
            <w:r>
              <w:rPr>
                <w:b/>
                <w:sz w:val="22"/>
              </w:rPr>
              <w:t>−4.6%</w:t>
            </w:r>
          </w:p>
        </w:tc>
      </w:tr>
      <w:tr w:rsidR="000D70DB" w14:paraId="4B01C24D" w14:textId="77777777">
        <w:tc>
          <w:tcPr>
            <w:tcW w:w="5184" w:type="dxa"/>
            <w:tcBorders>
              <w:top w:val="single" w:sz="5" w:space="0" w:color="D9D9D9"/>
              <w:left w:val="single" w:sz="5" w:space="0" w:color="D9D9D9"/>
              <w:bottom w:val="single" w:sz="5" w:space="0" w:color="D9D9D9"/>
              <w:right w:val="single" w:sz="5" w:space="0" w:color="D9D9D9"/>
            </w:tcBorders>
            <w:shd w:val="clear" w:color="auto" w:fill="FFFFFF"/>
            <w:tcMar>
              <w:top w:w="110" w:type="dxa"/>
              <w:left w:w="110" w:type="dxa"/>
              <w:bottom w:w="110" w:type="dxa"/>
              <w:right w:w="110" w:type="dxa"/>
            </w:tcMar>
            <w:vAlign w:val="center"/>
          </w:tcPr>
          <w:p w14:paraId="6A698BBE" w14:textId="77777777" w:rsidR="000D70DB" w:rsidRDefault="00000000">
            <w:pPr>
              <w:spacing w:after="0" w:line="264" w:lineRule="auto"/>
            </w:pPr>
            <w:r>
              <w:rPr>
                <w:sz w:val="22"/>
              </w:rPr>
              <w:t>Bonus comparison</w:t>
            </w:r>
          </w:p>
        </w:tc>
        <w:tc>
          <w:tcPr>
            <w:tcW w:w="2448" w:type="dxa"/>
            <w:tcBorders>
              <w:top w:val="single" w:sz="5" w:space="0" w:color="D9D9D9"/>
              <w:left w:val="single" w:sz="5" w:space="0" w:color="D9D9D9"/>
              <w:bottom w:val="single" w:sz="5" w:space="0" w:color="D9D9D9"/>
              <w:right w:val="single" w:sz="5" w:space="0" w:color="D9D9D9"/>
            </w:tcBorders>
            <w:shd w:val="clear" w:color="auto" w:fill="FFFFFF"/>
            <w:tcMar>
              <w:top w:w="110" w:type="dxa"/>
              <w:left w:w="110" w:type="dxa"/>
              <w:bottom w:w="110" w:type="dxa"/>
              <w:right w:w="110" w:type="dxa"/>
            </w:tcMar>
            <w:vAlign w:val="center"/>
          </w:tcPr>
          <w:p w14:paraId="6E22E3D8" w14:textId="77777777" w:rsidR="000D70DB" w:rsidRDefault="00000000">
            <w:pPr>
              <w:spacing w:after="0" w:line="264" w:lineRule="auto"/>
              <w:jc w:val="center"/>
            </w:pPr>
            <w:r>
              <w:rPr>
                <w:b/>
                <w:sz w:val="22"/>
              </w:rPr>
              <w:t>16.1%</w:t>
            </w:r>
          </w:p>
        </w:tc>
        <w:tc>
          <w:tcPr>
            <w:tcW w:w="2448" w:type="dxa"/>
            <w:tcBorders>
              <w:top w:val="single" w:sz="5" w:space="0" w:color="D9D9D9"/>
              <w:left w:val="single" w:sz="5" w:space="0" w:color="D9D9D9"/>
              <w:bottom w:val="single" w:sz="5" w:space="0" w:color="D9D9D9"/>
              <w:right w:val="single" w:sz="5" w:space="0" w:color="D9D9D9"/>
            </w:tcBorders>
            <w:shd w:val="clear" w:color="auto" w:fill="FFFFFF"/>
            <w:tcMar>
              <w:top w:w="110" w:type="dxa"/>
              <w:left w:w="110" w:type="dxa"/>
              <w:bottom w:w="110" w:type="dxa"/>
              <w:right w:w="110" w:type="dxa"/>
            </w:tcMar>
            <w:vAlign w:val="center"/>
          </w:tcPr>
          <w:p w14:paraId="4B8BBDEB" w14:textId="77777777" w:rsidR="000D70DB" w:rsidRDefault="00000000">
            <w:pPr>
              <w:spacing w:after="0" w:line="264" w:lineRule="auto"/>
              <w:jc w:val="center"/>
            </w:pPr>
            <w:r>
              <w:rPr>
                <w:b/>
                <w:sz w:val="22"/>
              </w:rPr>
              <w:t>0.0%</w:t>
            </w:r>
          </w:p>
        </w:tc>
      </w:tr>
    </w:tbl>
    <w:p w14:paraId="1D87ED53" w14:textId="77777777" w:rsidR="000D70DB" w:rsidRDefault="000D70DB">
      <w:pPr>
        <w:spacing w:after="0" w:line="160" w:lineRule="exact"/>
      </w:pPr>
    </w:p>
    <w:p w14:paraId="02A84B78" w14:textId="77777777" w:rsidR="000D70DB" w:rsidRDefault="00000000">
      <w:pPr>
        <w:pStyle w:val="Heading2"/>
      </w:pPr>
      <w:r>
        <w:t>BONUSES AND BENEFITS IN KIND</w:t>
      </w:r>
    </w:p>
    <w:tbl>
      <w:tblPr>
        <w:tblW w:w="0" w:type="auto"/>
        <w:tblLayout w:type="fixed"/>
        <w:tblLook w:val="04A0" w:firstRow="1" w:lastRow="0" w:firstColumn="1" w:lastColumn="0" w:noHBand="0" w:noVBand="1"/>
      </w:tblPr>
      <w:tblGrid>
        <w:gridCol w:w="4032"/>
        <w:gridCol w:w="936"/>
        <w:gridCol w:w="936"/>
        <w:gridCol w:w="1008"/>
        <w:gridCol w:w="3168"/>
      </w:tblGrid>
      <w:tr w:rsidR="000D70DB" w14:paraId="11B990CE" w14:textId="77777777" w:rsidTr="002C3D2E">
        <w:tc>
          <w:tcPr>
            <w:tcW w:w="4032" w:type="dxa"/>
            <w:tcBorders>
              <w:top w:val="single" w:sz="5" w:space="0" w:color="D9D9D9"/>
              <w:left w:val="single" w:sz="5" w:space="0" w:color="D9D9D9"/>
              <w:bottom w:val="single" w:sz="5" w:space="0" w:color="D9D9D9"/>
              <w:right w:val="single" w:sz="5" w:space="0" w:color="D9D9D9"/>
            </w:tcBorders>
            <w:shd w:val="clear" w:color="auto" w:fill="1F497D" w:themeFill="text2"/>
            <w:tcMar>
              <w:top w:w="110" w:type="dxa"/>
              <w:left w:w="110" w:type="dxa"/>
              <w:bottom w:w="110" w:type="dxa"/>
              <w:right w:w="110" w:type="dxa"/>
            </w:tcMar>
            <w:vAlign w:val="center"/>
          </w:tcPr>
          <w:p w14:paraId="0D63E48F" w14:textId="77777777" w:rsidR="000D70DB" w:rsidRDefault="00000000">
            <w:pPr>
              <w:spacing w:after="0" w:line="264" w:lineRule="auto"/>
              <w:jc w:val="center"/>
            </w:pPr>
            <w:r>
              <w:rPr>
                <w:b/>
                <w:color w:val="FFFFFF"/>
                <w:sz w:val="22"/>
              </w:rPr>
              <w:t>Measure</w:t>
            </w:r>
          </w:p>
        </w:tc>
        <w:tc>
          <w:tcPr>
            <w:tcW w:w="936" w:type="dxa"/>
            <w:tcBorders>
              <w:top w:val="single" w:sz="5" w:space="0" w:color="D9D9D9"/>
              <w:left w:val="single" w:sz="5" w:space="0" w:color="D9D9D9"/>
              <w:bottom w:val="single" w:sz="5" w:space="0" w:color="D9D9D9"/>
              <w:right w:val="single" w:sz="5" w:space="0" w:color="D9D9D9"/>
            </w:tcBorders>
            <w:shd w:val="clear" w:color="auto" w:fill="1F497D" w:themeFill="text2"/>
            <w:tcMar>
              <w:top w:w="110" w:type="dxa"/>
              <w:left w:w="110" w:type="dxa"/>
              <w:bottom w:w="110" w:type="dxa"/>
              <w:right w:w="110" w:type="dxa"/>
            </w:tcMar>
            <w:vAlign w:val="center"/>
          </w:tcPr>
          <w:p w14:paraId="4C43EAA3" w14:textId="77777777" w:rsidR="000D70DB" w:rsidRDefault="00000000">
            <w:pPr>
              <w:spacing w:after="0" w:line="264" w:lineRule="auto"/>
              <w:jc w:val="center"/>
            </w:pPr>
            <w:r>
              <w:rPr>
                <w:b/>
                <w:color w:val="FFFFFF"/>
                <w:sz w:val="22"/>
              </w:rPr>
              <w:t>Total</w:t>
            </w:r>
          </w:p>
        </w:tc>
        <w:tc>
          <w:tcPr>
            <w:tcW w:w="936" w:type="dxa"/>
            <w:tcBorders>
              <w:top w:val="single" w:sz="5" w:space="0" w:color="D9D9D9"/>
              <w:left w:val="single" w:sz="5" w:space="0" w:color="D9D9D9"/>
              <w:bottom w:val="single" w:sz="5" w:space="0" w:color="D9D9D9"/>
              <w:right w:val="single" w:sz="5" w:space="0" w:color="D9D9D9"/>
            </w:tcBorders>
            <w:shd w:val="clear" w:color="auto" w:fill="1F497D" w:themeFill="text2"/>
            <w:tcMar>
              <w:top w:w="110" w:type="dxa"/>
              <w:left w:w="110" w:type="dxa"/>
              <w:bottom w:w="110" w:type="dxa"/>
              <w:right w:w="110" w:type="dxa"/>
            </w:tcMar>
            <w:vAlign w:val="center"/>
          </w:tcPr>
          <w:p w14:paraId="648D51E5" w14:textId="77777777" w:rsidR="000D70DB" w:rsidRDefault="00000000">
            <w:pPr>
              <w:spacing w:after="0" w:line="264" w:lineRule="auto"/>
              <w:jc w:val="center"/>
            </w:pPr>
            <w:r>
              <w:rPr>
                <w:b/>
                <w:color w:val="FFFFFF"/>
                <w:sz w:val="22"/>
              </w:rPr>
              <w:t>Male</w:t>
            </w:r>
          </w:p>
        </w:tc>
        <w:tc>
          <w:tcPr>
            <w:tcW w:w="1008" w:type="dxa"/>
            <w:tcBorders>
              <w:top w:val="single" w:sz="5" w:space="0" w:color="D9D9D9"/>
              <w:left w:val="single" w:sz="5" w:space="0" w:color="D9D9D9"/>
              <w:bottom w:val="single" w:sz="5" w:space="0" w:color="D9D9D9"/>
              <w:right w:val="single" w:sz="5" w:space="0" w:color="D9D9D9"/>
            </w:tcBorders>
            <w:shd w:val="clear" w:color="auto" w:fill="1F497D" w:themeFill="text2"/>
            <w:tcMar>
              <w:top w:w="110" w:type="dxa"/>
              <w:left w:w="110" w:type="dxa"/>
              <w:bottom w:w="110" w:type="dxa"/>
              <w:right w:w="110" w:type="dxa"/>
            </w:tcMar>
            <w:vAlign w:val="center"/>
          </w:tcPr>
          <w:p w14:paraId="1C8BA080" w14:textId="77777777" w:rsidR="000D70DB" w:rsidRDefault="00000000">
            <w:pPr>
              <w:spacing w:after="0" w:line="264" w:lineRule="auto"/>
              <w:jc w:val="center"/>
            </w:pPr>
            <w:r>
              <w:rPr>
                <w:b/>
                <w:color w:val="FFFFFF"/>
                <w:sz w:val="22"/>
              </w:rPr>
              <w:t>Female</w:t>
            </w:r>
          </w:p>
        </w:tc>
        <w:tc>
          <w:tcPr>
            <w:tcW w:w="3168" w:type="dxa"/>
            <w:tcBorders>
              <w:top w:val="single" w:sz="5" w:space="0" w:color="D9D9D9"/>
              <w:left w:val="single" w:sz="5" w:space="0" w:color="D9D9D9"/>
              <w:bottom w:val="single" w:sz="5" w:space="0" w:color="D9D9D9"/>
              <w:right w:val="single" w:sz="5" w:space="0" w:color="D9D9D9"/>
            </w:tcBorders>
            <w:shd w:val="clear" w:color="auto" w:fill="1F497D" w:themeFill="text2"/>
            <w:tcMar>
              <w:top w:w="110" w:type="dxa"/>
              <w:left w:w="110" w:type="dxa"/>
              <w:bottom w:w="110" w:type="dxa"/>
              <w:right w:w="110" w:type="dxa"/>
            </w:tcMar>
            <w:vAlign w:val="center"/>
          </w:tcPr>
          <w:p w14:paraId="33990DF7" w14:textId="77777777" w:rsidR="000D70DB" w:rsidRDefault="00000000">
            <w:pPr>
              <w:spacing w:after="0" w:line="264" w:lineRule="auto"/>
              <w:jc w:val="center"/>
            </w:pPr>
            <w:r>
              <w:rPr>
                <w:b/>
                <w:color w:val="FFFFFF"/>
                <w:sz w:val="22"/>
              </w:rPr>
              <w:t>Difference</w:t>
            </w:r>
            <w:r>
              <w:rPr>
                <w:b/>
                <w:color w:val="FFFFFF"/>
                <w:sz w:val="22"/>
              </w:rPr>
              <w:br/>
              <w:t>(percentage points)</w:t>
            </w:r>
          </w:p>
        </w:tc>
      </w:tr>
      <w:tr w:rsidR="000D70DB" w14:paraId="3DE5909C" w14:textId="77777777">
        <w:tc>
          <w:tcPr>
            <w:tcW w:w="4032" w:type="dxa"/>
            <w:tcBorders>
              <w:top w:val="single" w:sz="5" w:space="0" w:color="D9D9D9"/>
              <w:left w:val="single" w:sz="5" w:space="0" w:color="D9D9D9"/>
              <w:bottom w:val="single" w:sz="5" w:space="0" w:color="D9D9D9"/>
              <w:right w:val="single" w:sz="5" w:space="0" w:color="D9D9D9"/>
            </w:tcBorders>
            <w:shd w:val="clear" w:color="auto" w:fill="FFFFFF"/>
            <w:tcMar>
              <w:top w:w="110" w:type="dxa"/>
              <w:left w:w="110" w:type="dxa"/>
              <w:bottom w:w="110" w:type="dxa"/>
              <w:right w:w="110" w:type="dxa"/>
            </w:tcMar>
            <w:vAlign w:val="center"/>
          </w:tcPr>
          <w:p w14:paraId="16F4DAAC" w14:textId="77777777" w:rsidR="000D70DB" w:rsidRDefault="00000000">
            <w:pPr>
              <w:spacing w:after="0" w:line="264" w:lineRule="auto"/>
            </w:pPr>
            <w:r>
              <w:rPr>
                <w:sz w:val="22"/>
              </w:rPr>
              <w:t>Employees who received a bonus</w:t>
            </w:r>
          </w:p>
        </w:tc>
        <w:tc>
          <w:tcPr>
            <w:tcW w:w="936" w:type="dxa"/>
            <w:tcBorders>
              <w:top w:val="single" w:sz="5" w:space="0" w:color="D9D9D9"/>
              <w:left w:val="single" w:sz="5" w:space="0" w:color="D9D9D9"/>
              <w:bottom w:val="single" w:sz="5" w:space="0" w:color="D9D9D9"/>
              <w:right w:val="single" w:sz="5" w:space="0" w:color="D9D9D9"/>
            </w:tcBorders>
            <w:shd w:val="clear" w:color="auto" w:fill="FFFFFF"/>
            <w:tcMar>
              <w:top w:w="110" w:type="dxa"/>
              <w:left w:w="110" w:type="dxa"/>
              <w:bottom w:w="110" w:type="dxa"/>
              <w:right w:w="110" w:type="dxa"/>
            </w:tcMar>
            <w:vAlign w:val="center"/>
          </w:tcPr>
          <w:p w14:paraId="4A75B5ED" w14:textId="77777777" w:rsidR="000D70DB" w:rsidRDefault="00000000">
            <w:pPr>
              <w:spacing w:after="0" w:line="264" w:lineRule="auto"/>
              <w:jc w:val="center"/>
            </w:pPr>
            <w:r>
              <w:rPr>
                <w:b/>
                <w:sz w:val="22"/>
              </w:rPr>
              <w:t>76.1%</w:t>
            </w:r>
          </w:p>
        </w:tc>
        <w:tc>
          <w:tcPr>
            <w:tcW w:w="936" w:type="dxa"/>
            <w:tcBorders>
              <w:top w:val="single" w:sz="5" w:space="0" w:color="D9D9D9"/>
              <w:left w:val="single" w:sz="5" w:space="0" w:color="D9D9D9"/>
              <w:bottom w:val="single" w:sz="5" w:space="0" w:color="D9D9D9"/>
              <w:right w:val="single" w:sz="5" w:space="0" w:color="D9D9D9"/>
            </w:tcBorders>
            <w:shd w:val="clear" w:color="auto" w:fill="FFFFFF"/>
            <w:tcMar>
              <w:top w:w="110" w:type="dxa"/>
              <w:left w:w="110" w:type="dxa"/>
              <w:bottom w:w="110" w:type="dxa"/>
              <w:right w:w="110" w:type="dxa"/>
            </w:tcMar>
            <w:vAlign w:val="center"/>
          </w:tcPr>
          <w:p w14:paraId="20D11CD7" w14:textId="77777777" w:rsidR="000D70DB" w:rsidRDefault="00000000">
            <w:pPr>
              <w:spacing w:after="0" w:line="264" w:lineRule="auto"/>
              <w:jc w:val="center"/>
            </w:pPr>
            <w:r>
              <w:rPr>
                <w:b/>
                <w:sz w:val="22"/>
              </w:rPr>
              <w:t>69.7%</w:t>
            </w:r>
          </w:p>
        </w:tc>
        <w:tc>
          <w:tcPr>
            <w:tcW w:w="1008" w:type="dxa"/>
            <w:tcBorders>
              <w:top w:val="single" w:sz="5" w:space="0" w:color="D9D9D9"/>
              <w:left w:val="single" w:sz="5" w:space="0" w:color="D9D9D9"/>
              <w:bottom w:val="single" w:sz="5" w:space="0" w:color="D9D9D9"/>
              <w:right w:val="single" w:sz="5" w:space="0" w:color="D9D9D9"/>
            </w:tcBorders>
            <w:shd w:val="clear" w:color="auto" w:fill="FFFFFF"/>
            <w:tcMar>
              <w:top w:w="110" w:type="dxa"/>
              <w:left w:w="110" w:type="dxa"/>
              <w:bottom w:w="110" w:type="dxa"/>
              <w:right w:w="110" w:type="dxa"/>
            </w:tcMar>
            <w:vAlign w:val="center"/>
          </w:tcPr>
          <w:p w14:paraId="114C327C" w14:textId="77777777" w:rsidR="000D70DB" w:rsidRDefault="00000000">
            <w:pPr>
              <w:spacing w:after="0" w:line="264" w:lineRule="auto"/>
              <w:jc w:val="center"/>
            </w:pPr>
            <w:r>
              <w:rPr>
                <w:b/>
                <w:sz w:val="22"/>
              </w:rPr>
              <w:t>82.4%</w:t>
            </w:r>
          </w:p>
        </w:tc>
        <w:tc>
          <w:tcPr>
            <w:tcW w:w="3168" w:type="dxa"/>
            <w:tcBorders>
              <w:top w:val="single" w:sz="5" w:space="0" w:color="D9D9D9"/>
              <w:left w:val="single" w:sz="5" w:space="0" w:color="D9D9D9"/>
              <w:bottom w:val="single" w:sz="5" w:space="0" w:color="D9D9D9"/>
              <w:right w:val="single" w:sz="5" w:space="0" w:color="D9D9D9"/>
            </w:tcBorders>
            <w:shd w:val="clear" w:color="auto" w:fill="FFFFFF"/>
            <w:tcMar>
              <w:top w:w="110" w:type="dxa"/>
              <w:left w:w="110" w:type="dxa"/>
              <w:bottom w:w="110" w:type="dxa"/>
              <w:right w:w="110" w:type="dxa"/>
            </w:tcMar>
            <w:vAlign w:val="center"/>
          </w:tcPr>
          <w:p w14:paraId="33397260" w14:textId="77777777" w:rsidR="000D70DB" w:rsidRDefault="00000000">
            <w:pPr>
              <w:spacing w:after="0" w:line="264" w:lineRule="auto"/>
              <w:jc w:val="center"/>
            </w:pPr>
            <w:r>
              <w:rPr>
                <w:b/>
                <w:sz w:val="22"/>
              </w:rPr>
              <w:t>12.7 in favour of females</w:t>
            </w:r>
          </w:p>
        </w:tc>
      </w:tr>
      <w:tr w:rsidR="000D70DB" w14:paraId="6ADE928D" w14:textId="77777777">
        <w:tc>
          <w:tcPr>
            <w:tcW w:w="4032" w:type="dxa"/>
            <w:tcBorders>
              <w:top w:val="single" w:sz="5" w:space="0" w:color="D9D9D9"/>
              <w:left w:val="single" w:sz="5" w:space="0" w:color="D9D9D9"/>
              <w:bottom w:val="single" w:sz="5" w:space="0" w:color="D9D9D9"/>
              <w:right w:val="single" w:sz="5" w:space="0" w:color="D9D9D9"/>
            </w:tcBorders>
            <w:shd w:val="clear" w:color="auto" w:fill="FFFFFF"/>
            <w:tcMar>
              <w:top w:w="110" w:type="dxa"/>
              <w:left w:w="110" w:type="dxa"/>
              <w:bottom w:w="110" w:type="dxa"/>
              <w:right w:w="110" w:type="dxa"/>
            </w:tcMar>
            <w:vAlign w:val="center"/>
          </w:tcPr>
          <w:p w14:paraId="2AE9924E" w14:textId="77777777" w:rsidR="000D70DB" w:rsidRDefault="00000000">
            <w:pPr>
              <w:spacing w:after="0" w:line="264" w:lineRule="auto"/>
            </w:pPr>
            <w:r>
              <w:rPr>
                <w:sz w:val="22"/>
              </w:rPr>
              <w:t>Employees who received a benefit in kind</w:t>
            </w:r>
          </w:p>
        </w:tc>
        <w:tc>
          <w:tcPr>
            <w:tcW w:w="936" w:type="dxa"/>
            <w:tcBorders>
              <w:top w:val="single" w:sz="5" w:space="0" w:color="D9D9D9"/>
              <w:left w:val="single" w:sz="5" w:space="0" w:color="D9D9D9"/>
              <w:bottom w:val="single" w:sz="5" w:space="0" w:color="D9D9D9"/>
              <w:right w:val="single" w:sz="5" w:space="0" w:color="D9D9D9"/>
            </w:tcBorders>
            <w:shd w:val="clear" w:color="auto" w:fill="FFFFFF"/>
            <w:tcMar>
              <w:top w:w="110" w:type="dxa"/>
              <w:left w:w="110" w:type="dxa"/>
              <w:bottom w:w="110" w:type="dxa"/>
              <w:right w:w="110" w:type="dxa"/>
            </w:tcMar>
            <w:vAlign w:val="center"/>
          </w:tcPr>
          <w:p w14:paraId="5D9E87CF" w14:textId="77777777" w:rsidR="000D70DB" w:rsidRDefault="00000000">
            <w:pPr>
              <w:spacing w:after="0" w:line="264" w:lineRule="auto"/>
              <w:jc w:val="center"/>
            </w:pPr>
            <w:r>
              <w:rPr>
                <w:b/>
                <w:sz w:val="22"/>
              </w:rPr>
              <w:t>6.0%</w:t>
            </w:r>
          </w:p>
        </w:tc>
        <w:tc>
          <w:tcPr>
            <w:tcW w:w="936" w:type="dxa"/>
            <w:tcBorders>
              <w:top w:val="single" w:sz="5" w:space="0" w:color="D9D9D9"/>
              <w:left w:val="single" w:sz="5" w:space="0" w:color="D9D9D9"/>
              <w:bottom w:val="single" w:sz="5" w:space="0" w:color="D9D9D9"/>
              <w:right w:val="single" w:sz="5" w:space="0" w:color="D9D9D9"/>
            </w:tcBorders>
            <w:shd w:val="clear" w:color="auto" w:fill="FFFFFF"/>
            <w:tcMar>
              <w:top w:w="110" w:type="dxa"/>
              <w:left w:w="110" w:type="dxa"/>
              <w:bottom w:w="110" w:type="dxa"/>
              <w:right w:w="110" w:type="dxa"/>
            </w:tcMar>
            <w:vAlign w:val="center"/>
          </w:tcPr>
          <w:p w14:paraId="25CD095C" w14:textId="77777777" w:rsidR="000D70DB" w:rsidRDefault="00000000">
            <w:pPr>
              <w:spacing w:after="0" w:line="264" w:lineRule="auto"/>
              <w:jc w:val="center"/>
            </w:pPr>
            <w:r>
              <w:rPr>
                <w:b/>
                <w:sz w:val="22"/>
              </w:rPr>
              <w:t>6.1%</w:t>
            </w:r>
          </w:p>
        </w:tc>
        <w:tc>
          <w:tcPr>
            <w:tcW w:w="1008" w:type="dxa"/>
            <w:tcBorders>
              <w:top w:val="single" w:sz="5" w:space="0" w:color="D9D9D9"/>
              <w:left w:val="single" w:sz="5" w:space="0" w:color="D9D9D9"/>
              <w:bottom w:val="single" w:sz="5" w:space="0" w:color="D9D9D9"/>
              <w:right w:val="single" w:sz="5" w:space="0" w:color="D9D9D9"/>
            </w:tcBorders>
            <w:shd w:val="clear" w:color="auto" w:fill="FFFFFF"/>
            <w:tcMar>
              <w:top w:w="110" w:type="dxa"/>
              <w:left w:w="110" w:type="dxa"/>
              <w:bottom w:w="110" w:type="dxa"/>
              <w:right w:w="110" w:type="dxa"/>
            </w:tcMar>
            <w:vAlign w:val="center"/>
          </w:tcPr>
          <w:p w14:paraId="45ECDD3F" w14:textId="77777777" w:rsidR="000D70DB" w:rsidRDefault="00000000">
            <w:pPr>
              <w:spacing w:after="0" w:line="264" w:lineRule="auto"/>
              <w:jc w:val="center"/>
            </w:pPr>
            <w:r>
              <w:rPr>
                <w:b/>
                <w:sz w:val="22"/>
              </w:rPr>
              <w:t>5.9%</w:t>
            </w:r>
          </w:p>
        </w:tc>
        <w:tc>
          <w:tcPr>
            <w:tcW w:w="3168" w:type="dxa"/>
            <w:tcBorders>
              <w:top w:val="single" w:sz="5" w:space="0" w:color="D9D9D9"/>
              <w:left w:val="single" w:sz="5" w:space="0" w:color="D9D9D9"/>
              <w:bottom w:val="single" w:sz="5" w:space="0" w:color="D9D9D9"/>
              <w:right w:val="single" w:sz="5" w:space="0" w:color="D9D9D9"/>
            </w:tcBorders>
            <w:shd w:val="clear" w:color="auto" w:fill="FFFFFF"/>
            <w:tcMar>
              <w:top w:w="110" w:type="dxa"/>
              <w:left w:w="110" w:type="dxa"/>
              <w:bottom w:w="110" w:type="dxa"/>
              <w:right w:w="110" w:type="dxa"/>
            </w:tcMar>
            <w:vAlign w:val="center"/>
          </w:tcPr>
          <w:p w14:paraId="2AF09706" w14:textId="77777777" w:rsidR="000D70DB" w:rsidRDefault="00000000">
            <w:pPr>
              <w:spacing w:after="0" w:line="264" w:lineRule="auto"/>
              <w:jc w:val="center"/>
            </w:pPr>
            <w:r>
              <w:rPr>
                <w:b/>
                <w:sz w:val="22"/>
              </w:rPr>
              <w:t>0.2 in favour of males</w:t>
            </w:r>
          </w:p>
        </w:tc>
      </w:tr>
    </w:tbl>
    <w:p w14:paraId="77A90F19" w14:textId="77777777" w:rsidR="000D70DB" w:rsidRDefault="000D70DB">
      <w:pPr>
        <w:spacing w:after="0" w:line="160" w:lineRule="exact"/>
      </w:pPr>
    </w:p>
    <w:p w14:paraId="2BB5373B" w14:textId="77777777" w:rsidR="000D70DB" w:rsidRDefault="00000000">
      <w:r>
        <w:rPr>
          <w:sz w:val="21"/>
        </w:rPr>
        <w:t>Mean = average pay; median = middle-ranked pay. Pay gaps are expressed as a percentage of the male figure. Positive gaps favour males; negative gaps favour females; 0% indicates no gap. Salary comparisons are supplementary to the hourly remuneration measures.</w:t>
      </w:r>
    </w:p>
    <w:p w14:paraId="6214A3BB" w14:textId="77777777" w:rsidR="000D70DB" w:rsidRDefault="00000000">
      <w:r>
        <w:rPr>
          <w:sz w:val="21"/>
        </w:rPr>
        <w:t>Bonus and benefit receipt figures show the percentage of employees in each group who received the benefit. Differences between male and female receipt rates are shown in percentage points.</w:t>
      </w:r>
    </w:p>
    <w:p w14:paraId="4CDA19D8" w14:textId="77777777" w:rsidR="000D70DB" w:rsidRDefault="00000000">
      <w:pPr>
        <w:spacing w:after="0" w:line="20" w:lineRule="exact"/>
      </w:pPr>
      <w:r>
        <w:rPr>
          <w:sz w:val="2"/>
        </w:rPr>
        <w:br w:type="page"/>
      </w:r>
    </w:p>
    <w:p w14:paraId="661E564C" w14:textId="77777777" w:rsidR="000D70DB" w:rsidRDefault="00000000">
      <w:pPr>
        <w:pStyle w:val="Heading1"/>
      </w:pPr>
      <w:r>
        <w:lastRenderedPageBreak/>
        <w:t>07  GENDER BREAKDOWN BY QUARTILE</w:t>
      </w:r>
    </w:p>
    <w:p w14:paraId="34E191DA" w14:textId="77777777" w:rsidR="000D70DB" w:rsidRDefault="00000000">
      <w:r>
        <w:t>The proportion of male and female full-time employees in each quartile is expressed as a percentage. There is no requirement to show this information for part-time or temporary employees.</w:t>
      </w:r>
    </w:p>
    <w:p w14:paraId="4CA535C8" w14:textId="77777777" w:rsidR="000D70DB" w:rsidRDefault="00000000">
      <w:pPr>
        <w:spacing w:before="80" w:after="200"/>
      </w:pPr>
      <w:r>
        <w:rPr>
          <w:noProof/>
        </w:rPr>
        <w:drawing>
          <wp:inline distT="0" distB="0" distL="0" distR="0" wp14:anchorId="12D11EAB" wp14:editId="7B924AFA">
            <wp:extent cx="6400800" cy="2546591"/>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uartiles.png"/>
                    <pic:cNvPicPr/>
                  </pic:nvPicPr>
                  <pic:blipFill>
                    <a:blip r:embed="rId10"/>
                    <a:stretch>
                      <a:fillRect/>
                    </a:stretch>
                  </pic:blipFill>
                  <pic:spPr>
                    <a:xfrm>
                      <a:off x="0" y="0"/>
                      <a:ext cx="6400800" cy="2546591"/>
                    </a:xfrm>
                    <a:prstGeom prst="rect">
                      <a:avLst/>
                    </a:prstGeom>
                  </pic:spPr>
                </pic:pic>
              </a:graphicData>
            </a:graphic>
          </wp:inline>
        </w:drawing>
      </w:r>
    </w:p>
    <w:p w14:paraId="790D0E79" w14:textId="77777777" w:rsidR="000D70DB" w:rsidRDefault="00000000">
      <w:r>
        <w:rPr>
          <w:sz w:val="21"/>
        </w:rPr>
        <w:t>Key: dark blue = male; light blue = female. Employees are ranked by hourly pay and split into four groups, from the lowest-paid quarter to the highest-paid quarter. Each bar totals 100% of that quartile; for example, the upper quartile is 75.0% male and 25.0% female.</w:t>
      </w:r>
    </w:p>
    <w:p w14:paraId="04F1297A" w14:textId="77777777" w:rsidR="000D70DB" w:rsidRDefault="00000000">
      <w:pPr>
        <w:pStyle w:val="Heading1"/>
      </w:pPr>
      <w:r>
        <w:t>08  ANALYSIS</w:t>
      </w:r>
    </w:p>
    <w:p w14:paraId="32D0E7FE" w14:textId="77777777" w:rsidR="000D70DB" w:rsidRDefault="00000000">
      <w:r>
        <w:t>We welcome the opportunity to report on our gender pay gap as part of our ongoing commitment to transparency and inclusion. The data reflects the current structure of our organisation, including the roles and seniority levels held by employees across different functions.</w:t>
      </w:r>
      <w:r>
        <w:br/>
        <w:t>While the figures highlight some areas for consideration, we are satisfied that our pay practices are aligned with our policies and values. We will continue to monitor developments in this area and remain open to identifying further opportunities to support equality in the workplace.</w:t>
      </w:r>
    </w:p>
    <w:p w14:paraId="1360B75E" w14:textId="77777777" w:rsidR="000D70DB" w:rsidRDefault="00000000">
      <w:pPr>
        <w:pStyle w:val="Heading1"/>
      </w:pPr>
      <w:r>
        <w:t>09  CONCLUSION</w:t>
      </w:r>
    </w:p>
    <w:p w14:paraId="00675E8E" w14:textId="77777777" w:rsidR="000D70DB" w:rsidRDefault="00000000">
      <w:r>
        <w:t>Through its own actions and through the shared learning on relevant initiatives being promoted across the organisation, Carraig Laundry intends to continue to implement appropriate actions to assist in addressing the gender pay gap.</w:t>
      </w:r>
    </w:p>
    <w:p w14:paraId="18A3130E" w14:textId="77777777" w:rsidR="000D70DB" w:rsidRDefault="00000000">
      <w:r>
        <w:t>Carraig Laundry looks forward to working with its employees on these issues in the time ahead.</w:t>
      </w:r>
    </w:p>
    <w:sectPr w:rsidR="000D70DB" w:rsidSect="00034616">
      <w:headerReference w:type="default" r:id="rId11"/>
      <w:footerReference w:type="default" r:id="rId12"/>
      <w:pgSz w:w="12240" w:h="15840"/>
      <w:pgMar w:top="1656" w:right="1080" w:bottom="1008" w:left="1080" w:header="403" w:footer="43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99B1CB" w14:textId="77777777" w:rsidR="002A46AD" w:rsidRDefault="002A46AD">
      <w:pPr>
        <w:spacing w:after="0" w:line="240" w:lineRule="auto"/>
      </w:pPr>
      <w:r>
        <w:separator/>
      </w:r>
    </w:p>
  </w:endnote>
  <w:endnote w:type="continuationSeparator" w:id="0">
    <w:p w14:paraId="03A9A1C0" w14:textId="77777777" w:rsidR="002A46AD" w:rsidRDefault="002A46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8A17C" w14:textId="77777777" w:rsidR="000D70DB" w:rsidRDefault="00000000">
    <w:pPr>
      <w:pStyle w:val="Footer"/>
      <w:tabs>
        <w:tab w:val="right" w:pos="10080"/>
      </w:tabs>
    </w:pPr>
    <w:r>
      <w:rPr>
        <w:sz w:val="16"/>
      </w:rPr>
      <w:t xml:space="preserve">CARRAIG </w:t>
    </w:r>
    <w:proofErr w:type="gramStart"/>
    <w:r>
      <w:rPr>
        <w:sz w:val="16"/>
      </w:rPr>
      <w:t>LAUNDRY  |</w:t>
    </w:r>
    <w:proofErr w:type="gramEnd"/>
    <w:r>
      <w:rPr>
        <w:sz w:val="16"/>
      </w:rPr>
      <w:t xml:space="preserve">  PEOPLE AND CULTURE</w:t>
    </w:r>
    <w:r>
      <w:rPr>
        <w:sz w:val="16"/>
      </w:rPr>
      <w:tab/>
    </w:r>
    <w:r>
      <w:fldChar w:fldCharType="begin"/>
    </w:r>
    <w:r>
      <w:instrText>PAGE</w:instrText>
    </w:r>
    <w:r>
      <w:fldChar w:fldCharType="separate"/>
    </w:r>
    <w:r w:rsidR="002C3D2E">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9D937E" w14:textId="77777777" w:rsidR="002A46AD" w:rsidRDefault="002A46AD">
      <w:pPr>
        <w:spacing w:after="0" w:line="240" w:lineRule="auto"/>
      </w:pPr>
      <w:r>
        <w:separator/>
      </w:r>
    </w:p>
  </w:footnote>
  <w:footnote w:type="continuationSeparator" w:id="0">
    <w:p w14:paraId="0D4E8505" w14:textId="77777777" w:rsidR="002A46AD" w:rsidRDefault="002A46A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F079E4" w14:textId="77777777" w:rsidR="000D70DB" w:rsidRDefault="00000000">
    <w:pPr>
      <w:pStyle w:val="Header"/>
    </w:pPr>
    <w:r>
      <w:rPr>
        <w:noProof/>
      </w:rPr>
      <w:drawing>
        <wp:inline distT="0" distB="0" distL="0" distR="0" wp14:anchorId="0DC52032" wp14:editId="5E70C6D9">
          <wp:extent cx="841248" cy="518149"/>
          <wp:effectExtent l="0" t="0" r="0" b="0"/>
          <wp:docPr id="1538443851" name="Picture 15384438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png"/>
                  <pic:cNvPicPr/>
                </pic:nvPicPr>
                <pic:blipFill>
                  <a:blip r:embed="rId1"/>
                  <a:stretch>
                    <a:fillRect/>
                  </a:stretch>
                </pic:blipFill>
                <pic:spPr>
                  <a:xfrm>
                    <a:off x="0" y="0"/>
                    <a:ext cx="841248" cy="518149"/>
                  </a:xfrm>
                  <a:prstGeom prst="rect">
                    <a:avLst/>
                  </a:prstGeom>
                </pic:spPr>
              </pic:pic>
            </a:graphicData>
          </a:graphic>
        </wp:inline>
      </w:drawing>
    </w:r>
    <w:r>
      <w:rPr>
        <w:sz w:val="18"/>
      </w:rPr>
      <w:t xml:space="preserve">     GENDER PAY GAP REPORT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126267483">
    <w:abstractNumId w:val="8"/>
  </w:num>
  <w:num w:numId="2" w16cid:durableId="632253025">
    <w:abstractNumId w:val="6"/>
  </w:num>
  <w:num w:numId="3" w16cid:durableId="1047484227">
    <w:abstractNumId w:val="5"/>
  </w:num>
  <w:num w:numId="4" w16cid:durableId="502210332">
    <w:abstractNumId w:val="4"/>
  </w:num>
  <w:num w:numId="5" w16cid:durableId="1334644513">
    <w:abstractNumId w:val="7"/>
  </w:num>
  <w:num w:numId="6" w16cid:durableId="1120294723">
    <w:abstractNumId w:val="3"/>
  </w:num>
  <w:num w:numId="7" w16cid:durableId="125583994">
    <w:abstractNumId w:val="2"/>
  </w:num>
  <w:num w:numId="8" w16cid:durableId="232201994">
    <w:abstractNumId w:val="1"/>
  </w:num>
  <w:num w:numId="9" w16cid:durableId="15137575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D70DB"/>
    <w:rsid w:val="0015074B"/>
    <w:rsid w:val="0029639D"/>
    <w:rsid w:val="002A46AD"/>
    <w:rsid w:val="002C3D2E"/>
    <w:rsid w:val="00326F90"/>
    <w:rsid w:val="00822DD7"/>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ACF4C74"/>
  <w14:defaultImageDpi w14:val="300"/>
  <w15:docId w15:val="{D0DE254B-6267-4CDE-B252-CEEC7E8181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80" w:line="259" w:lineRule="auto"/>
    </w:pPr>
    <w:rPr>
      <w:rFonts w:ascii="Arial" w:hAnsi="Arial"/>
      <w:color w:val="000000"/>
      <w:sz w:val="24"/>
    </w:rPr>
  </w:style>
  <w:style w:type="paragraph" w:styleId="Heading1">
    <w:name w:val="heading 1"/>
    <w:basedOn w:val="Normal"/>
    <w:next w:val="Normal"/>
    <w:link w:val="Heading1Char"/>
    <w:uiPriority w:val="9"/>
    <w:qFormat/>
    <w:rsid w:val="00FC693F"/>
    <w:pPr>
      <w:keepNext/>
      <w:keepLines/>
      <w:spacing w:before="320" w:after="240"/>
      <w:outlineLvl w:val="0"/>
    </w:pPr>
    <w:rPr>
      <w:rFonts w:asciiTheme="majorHAnsi" w:eastAsiaTheme="majorEastAsia" w:hAnsiTheme="majorHAnsi" w:cstheme="majorBidi"/>
      <w:b/>
      <w:bCs/>
      <w:sz w:val="38"/>
      <w:szCs w:val="28"/>
    </w:rPr>
  </w:style>
  <w:style w:type="paragraph" w:styleId="Heading2">
    <w:name w:val="heading 2"/>
    <w:basedOn w:val="Normal"/>
    <w:next w:val="Normal"/>
    <w:link w:val="Heading2Char"/>
    <w:uiPriority w:val="9"/>
    <w:unhideWhenUsed/>
    <w:qFormat/>
    <w:rsid w:val="00FC693F"/>
    <w:pPr>
      <w:keepNext/>
      <w:keepLines/>
      <w:spacing w:before="320" w:after="240"/>
      <w:outlineLvl w:val="1"/>
    </w:pPr>
    <w:rPr>
      <w:rFonts w:asciiTheme="majorHAnsi" w:eastAsiaTheme="majorEastAsia" w:hAnsiTheme="majorHAnsi" w:cstheme="majorBidi"/>
      <w:b/>
      <w:bCs/>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8</Pages>
  <Words>1571</Words>
  <Characters>8958</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10508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Carraig Laundry Gender Pay Gap Report 2026</dc:title>
  <dc:subject/>
  <dc:creator>Carraig Laundry</dc:creator>
  <cp:keywords/>
  <dc:description>generated by python-docx</dc:description>
  <cp:lastModifiedBy>Ciaran Ramsey [The HR Company]</cp:lastModifiedBy>
  <cp:revision>2</cp:revision>
  <dcterms:created xsi:type="dcterms:W3CDTF">2013-12-23T23:15:00Z</dcterms:created>
  <dcterms:modified xsi:type="dcterms:W3CDTF">2026-10-19T09:00:00Z</dcterms:modified>
  <cp:category/>
</cp:coreProperties>
</file>